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WYMAGANIA EDUKACYJNE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Z GEOGRAFII W KLASIE VI SP</w:t>
      </w:r>
    </w:p>
    <w:p w:rsidR="002128E8" w:rsidRDefault="002128E8" w:rsidP="002128E8">
      <w:pPr>
        <w:pBdr>
          <w:bottom w:val="single" w:sz="8" w:space="2" w:color="000001"/>
        </w:pBdr>
        <w:jc w:val="center"/>
        <w:rPr>
          <w:rFonts w:ascii="Cambria" w:hAnsi="Cambria" w:cs="Cambria"/>
        </w:rPr>
      </w:pPr>
    </w:p>
    <w:p w:rsidR="002128E8" w:rsidRPr="002128E8" w:rsidRDefault="002128E8" w:rsidP="002128E8">
      <w:pPr>
        <w:rPr>
          <w:rFonts w:ascii="Cambria" w:hAnsi="Cambria" w:cs="Cambria"/>
          <w:b/>
          <w:bCs/>
          <w:color w:val="00B050"/>
        </w:rPr>
      </w:pPr>
    </w:p>
    <w:p w:rsidR="002128E8" w:rsidRPr="002128E8" w:rsidRDefault="002128E8" w:rsidP="002128E8">
      <w:pPr>
        <w:rPr>
          <w:rFonts w:hint="eastAsia"/>
          <w:b/>
          <w:color w:val="00B050"/>
        </w:rPr>
      </w:pPr>
      <w:r w:rsidRPr="002128E8">
        <w:rPr>
          <w:rFonts w:ascii="Cambria" w:hAnsi="Cambria" w:cs="Cambria"/>
          <w:b/>
          <w:bCs/>
          <w:color w:val="00B050"/>
          <w:sz w:val="22"/>
          <w:szCs w:val="22"/>
        </w:rPr>
        <w:t>Podręcznik: „Planeta Nowa – podręcznik do geografii dla klasy VI  szkoły podstawowej”</w:t>
      </w:r>
    </w:p>
    <w:p w:rsidR="002128E8" w:rsidRPr="002128E8" w:rsidRDefault="002128E8" w:rsidP="002128E8">
      <w:pPr>
        <w:rPr>
          <w:rFonts w:hint="eastAsia"/>
          <w:b/>
          <w:color w:val="00B050"/>
        </w:rPr>
      </w:pPr>
      <w:r w:rsidRPr="002128E8">
        <w:rPr>
          <w:rFonts w:ascii="Cambria" w:hAnsi="Cambria" w:cs="Cambria"/>
          <w:b/>
          <w:bCs/>
          <w:color w:val="00B050"/>
          <w:sz w:val="22"/>
          <w:szCs w:val="22"/>
        </w:rPr>
        <w:tab/>
        <w:t xml:space="preserve">           Autorzy: </w:t>
      </w:r>
      <w:r w:rsidRPr="002128E8">
        <w:rPr>
          <w:rFonts w:ascii="Cambria" w:hAnsi="Cambria" w:cs="Cambria"/>
          <w:b/>
          <w:bCs/>
          <w:color w:val="00B050"/>
          <w:sz w:val="22"/>
          <w:szCs w:val="22"/>
          <w:effect w:val="blinkBackground"/>
          <w:shd w:val="clear" w:color="auto" w:fill="FFFFFF"/>
        </w:rPr>
        <w:t>Roman Malarz, Mariusz Szubert, Tomasz Rachwał</w:t>
      </w:r>
      <w:r w:rsidRPr="002128E8">
        <w:rPr>
          <w:rFonts w:ascii="Cambria" w:hAnsi="Cambria" w:cs="Cambria"/>
          <w:b/>
          <w:bCs/>
          <w:color w:val="00B050"/>
          <w:sz w:val="22"/>
          <w:szCs w:val="22"/>
        </w:rPr>
        <w:t>, Wyd. Nowa Era</w:t>
      </w:r>
    </w:p>
    <w:p w:rsidR="002128E8" w:rsidRPr="002128E8" w:rsidRDefault="002128E8" w:rsidP="002128E8">
      <w:pPr>
        <w:rPr>
          <w:rFonts w:ascii="Cambria" w:hAnsi="Cambria" w:cs="Cambria"/>
          <w:b/>
          <w:bCs/>
          <w:color w:val="00B050"/>
          <w:sz w:val="22"/>
          <w:szCs w:val="22"/>
        </w:rPr>
      </w:pPr>
    </w:p>
    <w:p w:rsidR="002128E8" w:rsidRPr="002128E8" w:rsidRDefault="002128E8" w:rsidP="002128E8">
      <w:pPr>
        <w:rPr>
          <w:rFonts w:hint="eastAsia"/>
          <w:b/>
          <w:color w:val="00B050"/>
        </w:rPr>
      </w:pPr>
      <w:r w:rsidRPr="002128E8">
        <w:rPr>
          <w:rFonts w:ascii="Cambria" w:hAnsi="Cambria" w:cs="Cambria"/>
          <w:b/>
          <w:bCs/>
          <w:color w:val="00B050"/>
          <w:sz w:val="22"/>
          <w:szCs w:val="22"/>
        </w:rPr>
        <w:t>Atlas:  Polska, kontynenty, świat – atlas geograficzny dla uczniów klas 5-8, Wyd. Nowa Era</w:t>
      </w:r>
    </w:p>
    <w:p w:rsidR="002128E8" w:rsidRDefault="002128E8" w:rsidP="002128E8">
      <w:pPr>
        <w:pBdr>
          <w:bottom w:val="single" w:sz="8" w:space="2" w:color="000001"/>
        </w:pBdr>
        <w:rPr>
          <w:rFonts w:ascii="Cambria" w:hAnsi="Cambria" w:cs="Cambria"/>
          <w:b/>
          <w:bCs/>
        </w:rPr>
      </w:pPr>
    </w:p>
    <w:p w:rsidR="002128E8" w:rsidRDefault="002128E8" w:rsidP="002128E8">
      <w:pPr>
        <w:rPr>
          <w:rFonts w:ascii="Cambria" w:hAnsi="Cambria"/>
        </w:rPr>
      </w:pPr>
    </w:p>
    <w:p w:rsidR="002128E8" w:rsidRDefault="002128E8" w:rsidP="002128E8">
      <w:pPr>
        <w:rPr>
          <w:rFonts w:ascii="Cambria" w:hAnsi="Cambria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>Poziomy wymagań: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/>
        </w:rPr>
        <w:t>- konieczne – obejmują wiadomości i umiejętności, które umożliwiają uczniowi świadomy udział w lekcji, a także wykonywanie przez ucznia prostych zadań związanych z życiem codziennym;</w:t>
      </w:r>
    </w:p>
    <w:p w:rsidR="002128E8" w:rsidRDefault="002128E8" w:rsidP="002128E8">
      <w:pPr>
        <w:jc w:val="both"/>
        <w:rPr>
          <w:rFonts w:ascii="Cambria" w:hAnsi="Cambria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/>
        </w:rPr>
        <w:t>- podstawowe- określają wiadomości i umiejętności ważne i najbardziej uniwersalne, stosunkowo łatwe do opanowania i użyteczne w życiu codziennym oraz niezbędne do kontynuowania nauki na wyższych poziomach;</w:t>
      </w:r>
    </w:p>
    <w:p w:rsidR="002128E8" w:rsidRDefault="002128E8" w:rsidP="002128E8">
      <w:pPr>
        <w:jc w:val="both"/>
        <w:rPr>
          <w:rFonts w:ascii="Cambria" w:hAnsi="Cambria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/>
        </w:rPr>
        <w:t>- rozszerzające – dotyczą wiadomości i umiejętności trudniejszych, wspierających tematy podstawowe. Pośrednio mogą być użyteczne w pozaszkolnej działalności ucznia;</w:t>
      </w:r>
    </w:p>
    <w:p w:rsidR="002128E8" w:rsidRDefault="002128E8" w:rsidP="002128E8">
      <w:pPr>
        <w:jc w:val="both"/>
        <w:rPr>
          <w:rFonts w:ascii="Cambria" w:hAnsi="Cambria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/>
        </w:rPr>
        <w:t xml:space="preserve">- dopełniające – zakładają opanowanie treści podstawy programowej kształcenia ogólnego                z geografii zawarte w wymaganiach koniecznych, podstawowych, rozszerzających                          i dopełniających. Określają wiadomości i umiejętności trudne do przyswojenia, złożone oraz                o charakterze problemowym. </w:t>
      </w:r>
    </w:p>
    <w:p w:rsidR="002128E8" w:rsidRDefault="002128E8" w:rsidP="002128E8">
      <w:pPr>
        <w:jc w:val="both"/>
        <w:rPr>
          <w:rFonts w:ascii="Cambria" w:hAnsi="Cambria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/>
        </w:rPr>
        <w:t>- wykraczające - obejmują w całości treści podstawy programowej kształcenia ogólnego            z geografii zawarte w wymaganiach koniecznych, podstawowych, rozszerzających, dopełniających i wykraczających.  Dotyczą zagadnień szczególnie złożonych i twórczych naukowo.</w:t>
      </w:r>
    </w:p>
    <w:p w:rsidR="002128E8" w:rsidRDefault="002128E8" w:rsidP="002128E8">
      <w:pPr>
        <w:jc w:val="both"/>
        <w:rPr>
          <w:rFonts w:ascii="Cambria" w:hAnsi="Cambria"/>
        </w:rPr>
      </w:pPr>
    </w:p>
    <w:p w:rsidR="002128E8" w:rsidRDefault="002128E8" w:rsidP="002128E8">
      <w:pPr>
        <w:spacing w:after="140"/>
        <w:jc w:val="center"/>
        <w:rPr>
          <w:rFonts w:hint="eastAsia"/>
        </w:rPr>
      </w:pPr>
      <w:r>
        <w:rPr>
          <w:rFonts w:ascii="Cambria" w:hAnsi="Cambria" w:cs="Cambria"/>
          <w:b/>
          <w:i/>
          <w:sz w:val="26"/>
          <w:szCs w:val="26"/>
        </w:rPr>
        <w:t>Kryteria stopni szkolnych:</w:t>
      </w:r>
    </w:p>
    <w:p w:rsidR="002128E8" w:rsidRDefault="002128E8" w:rsidP="002128E8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eastAsia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Stopień celujący otrzymuje uczeń, który:</w:t>
      </w:r>
    </w:p>
    <w:p w:rsidR="002128E8" w:rsidRDefault="002128E8" w:rsidP="002128E8">
      <w:pPr>
        <w:jc w:val="both"/>
        <w:rPr>
          <w:rFonts w:hint="eastAsia"/>
        </w:rPr>
      </w:pPr>
    </w:p>
    <w:p w:rsidR="002128E8" w:rsidRDefault="002128E8" w:rsidP="002128E8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opanował w całości treści wykraczające, potrafi je selekcjonować i hierarchizować, samodzielnie analizuje i interpretuje zjawiska geograficzne, ocenia i wyciąga wnioski na podstawie materiałów źródłowych, samodzielnie rozwiązuje postawione mu problemy, proponuje rozwiązania nietypowe, posiada umiejętność myślenia geograficznego, samodzielnie i twórczo rozwija własne uzdolnienia 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hAnsi="Cambria" w:cs="Cambria"/>
          <w:color w:val="000000"/>
        </w:rPr>
        <w:t>lub</w:t>
      </w:r>
    </w:p>
    <w:p w:rsidR="002128E8" w:rsidRDefault="002128E8" w:rsidP="002128E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osiąga sukcesy w konkursach i olimpiadach przedmiotowych i innych, kwalifikując się do finałów na szczeblu wojewódzkim (regionalnym) albo krajowym lub posiada inne porównywalne osiągnięcia.</w:t>
      </w:r>
    </w:p>
    <w:p w:rsidR="002128E8" w:rsidRDefault="002128E8" w:rsidP="002128E8">
      <w:pPr>
        <w:pStyle w:val="Akapitzlist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pStyle w:val="Akapitzlist"/>
        <w:spacing w:after="0" w:line="240" w:lineRule="auto"/>
        <w:ind w:left="708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  <w:color w:val="000000"/>
        </w:rPr>
        <w:t>Stopień bardzo dobry otrzymuje uczeń, który:</w:t>
      </w:r>
    </w:p>
    <w:p w:rsidR="002128E8" w:rsidRDefault="002128E8" w:rsidP="002128E8">
      <w:pPr>
        <w:jc w:val="both"/>
        <w:rPr>
          <w:rFonts w:ascii="Cambria" w:hAnsi="Cambria" w:cs="Cambria"/>
          <w:b/>
          <w:bCs/>
          <w:color w:val="000000"/>
        </w:rPr>
      </w:pPr>
    </w:p>
    <w:p w:rsidR="002128E8" w:rsidRDefault="002128E8" w:rsidP="002128E8">
      <w:pPr>
        <w:pStyle w:val="Tretekstu"/>
        <w:widowControl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lastRenderedPageBreak/>
        <w:t>opanował treści dopełniające, potrafi samodzielnie interpretować zjawiska oraz bronić swych poglądów;</w:t>
      </w:r>
    </w:p>
    <w:p w:rsidR="002128E8" w:rsidRDefault="002128E8" w:rsidP="002128E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sprawnie posługuje się zdobytymi wiadomościami, rozwiązuje samodzielnie problemy teoretyczne lub praktyczne ujęte programem nauczania, potrafi zastosować posiadaną wiedzę do rozwiązywania problemów w nowych sytuacjach</w:t>
      </w:r>
    </w:p>
    <w:p w:rsidR="002128E8" w:rsidRDefault="002128E8" w:rsidP="002128E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 xml:space="preserve">sprawnie posługuje się terminologią geograficzną oraz mapami geograficznymi, umiejętnie ocenia, interpretuje i analizuje zjawiska geograficzne, </w:t>
      </w:r>
      <w:bookmarkStart w:id="0" w:name="__DdeLink__180_1784820510"/>
      <w:r>
        <w:rPr>
          <w:rFonts w:ascii="Cambria" w:hAnsi="Cambria" w:cs="Cambria"/>
          <w:color w:val="000000"/>
          <w:sz w:val="24"/>
          <w:szCs w:val="24"/>
        </w:rPr>
        <w:t>dostrzega związki                  i zależności zachodzące w środowisku geograficznym</w:t>
      </w:r>
      <w:bookmarkEnd w:id="0"/>
      <w:r>
        <w:rPr>
          <w:rFonts w:ascii="Cambria" w:hAnsi="Cambria" w:cs="Cambria"/>
          <w:color w:val="000000"/>
          <w:sz w:val="24"/>
          <w:szCs w:val="24"/>
        </w:rPr>
        <w:t xml:space="preserve">, posiada zdolność myślenia geograficznego. </w:t>
      </w:r>
    </w:p>
    <w:p w:rsidR="002128E8" w:rsidRDefault="002128E8" w:rsidP="002128E8">
      <w:pPr>
        <w:pStyle w:val="Akapitzlist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  <w:color w:val="000000"/>
        </w:rPr>
        <w:t>Stopień dobry otrzymuje uczeń, który:</w:t>
      </w:r>
    </w:p>
    <w:p w:rsidR="002128E8" w:rsidRDefault="002128E8" w:rsidP="002128E8">
      <w:pPr>
        <w:jc w:val="both"/>
        <w:rPr>
          <w:rFonts w:ascii="Cambria" w:hAnsi="Cambria" w:cs="Cambria"/>
          <w:b/>
          <w:bCs/>
          <w:color w:val="000000"/>
        </w:rPr>
      </w:pPr>
    </w:p>
    <w:p w:rsidR="002128E8" w:rsidRDefault="002128E8" w:rsidP="002128E8">
      <w:pPr>
        <w:pStyle w:val="Tretekstu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>przyswoił treści rozszerzające, właściwie stosuje terminologię przedmiotową, aktywnie uczestniczy w zajęciach oraz stosuje wiadomości w sytuacjach typowych wg wzorów znanych z lekcji i podręcznika, a także rozwiązuje typowe problemy                            z wykorzystaniem poznanych metod. Ponadto samodzielnie pracuje                                                 z podręcznikiem i materiałami źródłowymi.</w:t>
      </w:r>
    </w:p>
    <w:p w:rsidR="002128E8" w:rsidRDefault="002128E8" w:rsidP="002128E8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  <w:color w:val="000000"/>
        </w:rPr>
        <w:t>Stopień dostateczny otrzymuje uczeń, który:</w:t>
      </w:r>
    </w:p>
    <w:p w:rsidR="002128E8" w:rsidRDefault="002128E8" w:rsidP="002128E8">
      <w:pPr>
        <w:pStyle w:val="Tretekstu"/>
        <w:shd w:val="clear" w:color="auto" w:fill="FFFFFF"/>
        <w:spacing w:after="0" w:line="285" w:lineRule="atLeast"/>
        <w:jc w:val="both"/>
        <w:rPr>
          <w:rFonts w:cs="Cambria" w:hint="eastAsia"/>
          <w:color w:val="000000"/>
        </w:rPr>
      </w:pPr>
    </w:p>
    <w:p w:rsidR="002128E8" w:rsidRDefault="002128E8" w:rsidP="002128E8">
      <w:pPr>
        <w:pStyle w:val="Tretekstu"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>opanował wiadomości podstawowe i z niewielką pomocą nauczyciela potrafi rozwiązać podstawowe problemy. Analizuje podstawowe zależności, próbuje porównywać, wnioskować i zajmować określone stanowiska.</w:t>
      </w:r>
    </w:p>
    <w:p w:rsidR="002128E8" w:rsidRDefault="002128E8" w:rsidP="002128E8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  <w:color w:val="000000"/>
        </w:rPr>
        <w:t>Stopień dopuszczający otrzymuje uczeń, który:</w:t>
      </w:r>
    </w:p>
    <w:p w:rsidR="002128E8" w:rsidRDefault="002128E8" w:rsidP="002128E8">
      <w:pPr>
        <w:shd w:val="clear" w:color="auto" w:fill="FFFFFF"/>
        <w:spacing w:line="285" w:lineRule="atLeast"/>
        <w:jc w:val="both"/>
        <w:rPr>
          <w:rFonts w:cs="Cambria" w:hint="eastAsia"/>
          <w:color w:val="000000"/>
        </w:rPr>
      </w:pPr>
    </w:p>
    <w:p w:rsidR="002128E8" w:rsidRDefault="002128E8" w:rsidP="002128E8">
      <w:pPr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>przyswoił treści konieczne, z pomocą nauczyciela jest w stanie nadrobić braki                           w podstawowych umiejętnościach;</w:t>
      </w:r>
    </w:p>
    <w:p w:rsidR="002128E8" w:rsidRDefault="002128E8" w:rsidP="002128E8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rozwiązuje (wykonuje) zadania teoretyczne lub praktyczne typowe o niewielkim stopniu trudności</w:t>
      </w:r>
    </w:p>
    <w:p w:rsidR="002128E8" w:rsidRDefault="002128E8" w:rsidP="002128E8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  <w:color w:val="000000"/>
        </w:rPr>
        <w:t>Stopień niedostateczny otrzymuje uczeń, który:</w:t>
      </w:r>
    </w:p>
    <w:p w:rsidR="002128E8" w:rsidRDefault="002128E8" w:rsidP="002128E8">
      <w:pPr>
        <w:jc w:val="both"/>
        <w:rPr>
          <w:rFonts w:ascii="Cambria" w:hAnsi="Cambria" w:cs="Cambria"/>
          <w:b/>
          <w:bCs/>
          <w:color w:val="000000"/>
        </w:rPr>
      </w:pPr>
    </w:p>
    <w:p w:rsidR="002128E8" w:rsidRDefault="002128E8" w:rsidP="002128E8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 xml:space="preserve">nie opanował wiadomości i umiejętności w zakresie wymagań koniecznych, a braki               w wiadomościach i umiejętnościach uniemożliwiają dalsze zdobywanie wiedzy                            z tego przedmiotu </w:t>
      </w:r>
    </w:p>
    <w:p w:rsidR="002128E8" w:rsidRDefault="002128E8" w:rsidP="002128E8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nie jest w stanie rozwiązać (wykonać) zadań o niewielkim (elementarnym) stopniu trudności</w:t>
      </w:r>
    </w:p>
    <w:p w:rsidR="002128E8" w:rsidRDefault="002128E8" w:rsidP="002128E8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nie potrafi korzystać z mapy, zlokalizować głównych obiektów geograficznych na mapie, błędnie analizuje zjawiska geograficzne</w:t>
      </w:r>
    </w:p>
    <w:p w:rsidR="002128E8" w:rsidRDefault="002128E8" w:rsidP="002128E8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ind w:left="426" w:hanging="426"/>
        <w:jc w:val="center"/>
        <w:rPr>
          <w:rFonts w:ascii="Cambria" w:hAnsi="Cambria" w:cs="Cambria"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686230" w:rsidRDefault="00686230" w:rsidP="002128E8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lastRenderedPageBreak/>
        <w:t>Formy bieżącego sprawdzania postępów ucznia.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color w:val="B30000"/>
        </w:rPr>
      </w:pPr>
    </w:p>
    <w:tbl>
      <w:tblPr>
        <w:tblW w:w="9445" w:type="dxa"/>
        <w:tblInd w:w="-75" w:type="dxa"/>
        <w:tblLayout w:type="fixed"/>
        <w:tblLook w:val="0000"/>
      </w:tblPr>
      <w:tblGrid>
        <w:gridCol w:w="959"/>
        <w:gridCol w:w="1776"/>
        <w:gridCol w:w="1930"/>
        <w:gridCol w:w="1822"/>
        <w:gridCol w:w="2958"/>
      </w:tblGrid>
      <w:tr w:rsidR="002128E8" w:rsidTr="00E55BE1"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Forma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Zakres treści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Częstotliwość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Zasady</w:t>
            </w:r>
          </w:p>
        </w:tc>
      </w:tr>
      <w:tr w:rsidR="002128E8" w:rsidTr="00E55BE1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28E8" w:rsidRDefault="002128E8" w:rsidP="00E55BE1">
            <w:pPr>
              <w:autoSpaceDE w:val="0"/>
              <w:ind w:left="113" w:right="113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Prace  pisemne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sprawdziany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pisemne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 30 min</w:t>
            </w:r>
          </w:p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dłużej)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jeden dział lub połowa obszernego działu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minimum jedna ocena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z prac  pisemnych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w okresie </w:t>
            </w:r>
          </w:p>
          <w:p w:rsidR="002128E8" w:rsidRPr="00020AEC" w:rsidRDefault="002128E8" w:rsidP="00E55BE1">
            <w:pPr>
              <w:rPr>
                <w:rFonts w:ascii="Cambria" w:hAnsi="Cambria" w:cs="Cambri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zapowiadane przynajmniej z tygodniowym</w:t>
            </w:r>
          </w:p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wyprzedzeniem</w:t>
            </w:r>
          </w:p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adnotacja w e – dzienniku </w:t>
            </w:r>
          </w:p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w miarę możliwości poprzedzone lekcją powtórzeniową, na której nauczyciel informuje uczniów o narzędziach sprawdzających</w:t>
            </w:r>
          </w:p>
          <w:p w:rsidR="002128E8" w:rsidRDefault="002128E8" w:rsidP="00E55BE1">
            <w:pPr>
              <w:autoSpaceDE w:val="0"/>
              <w:rPr>
                <w:rFonts w:hint="eastAs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2 tygodnie</w:t>
            </w:r>
          </w:p>
        </w:tc>
      </w:tr>
      <w:tr w:rsidR="002128E8" w:rsidTr="00E55BE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128E8" w:rsidRDefault="002128E8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Oceny bieżące np. odpowiedź, kartkówka, aktywność, zadania domowe, projekty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kartkówki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do 20 min)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zagadnienia z ostatniego tematu lekcji lub z trzech ostatnich lekcji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Pr="00561F45" w:rsidRDefault="002128E8" w:rsidP="00E55BE1">
            <w:pPr>
              <w:rPr>
                <w:rFonts w:ascii="Cambria" w:hAnsi="Cambria" w:cs="Cambria"/>
              </w:rPr>
            </w:pPr>
          </w:p>
          <w:p w:rsidR="002128E8" w:rsidRDefault="002128E8" w:rsidP="00E55BE1">
            <w:pPr>
              <w:rPr>
                <w:rFonts w:ascii="Cambria" w:eastAsia="Cambria" w:hAnsi="Cambria" w:cs="Cambria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128E8" w:rsidRPr="00561F45" w:rsidRDefault="002128E8" w:rsidP="00E55BE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</w:rPr>
              <w:t xml:space="preserve">minimum dwie oceny </w:t>
            </w:r>
            <w:r>
              <w:rPr>
                <w:rFonts w:ascii="Cambria" w:hAnsi="Cambria" w:cs="Cambria"/>
                <w:color w:val="000000"/>
              </w:rPr>
              <w:br/>
              <w:t xml:space="preserve"> w okresie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• bez zapowiedzi lub </w:t>
            </w:r>
            <w:r>
              <w:rPr>
                <w:rFonts w:ascii="Cambria" w:hAnsi="Cambria" w:cs="Cambria"/>
                <w:color w:val="000000"/>
              </w:rPr>
              <w:t>zapowiedziane z  wyprzedzeniem – ustnie lub przez e-dziennik; na lekcji poprzedzającej kartkówkę</w:t>
            </w:r>
          </w:p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1 tydzień</w:t>
            </w:r>
          </w:p>
        </w:tc>
      </w:tr>
      <w:tr w:rsidR="002128E8" w:rsidTr="00E55BE1">
        <w:trPr>
          <w:cantSplit/>
          <w:trHeight w:val="5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128E8" w:rsidRDefault="002128E8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19428F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Zadania </w:t>
            </w:r>
            <w:r w:rsidR="002128E8">
              <w:rPr>
                <w:rFonts w:ascii="Cambria" w:hAnsi="Cambria" w:cs="Cambria"/>
                <w:b/>
                <w:bCs/>
                <w:color w:val="000000"/>
              </w:rPr>
              <w:t>domowe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materiał nauczania z bieżącej lekcji lub przygotowanie materiału dotyczącego nowego tematu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hint="eastAs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ocenie może podlegać wybiórczo kilka prac</w:t>
            </w:r>
          </w:p>
        </w:tc>
      </w:tr>
      <w:tr w:rsidR="002128E8" w:rsidTr="00E55BE1">
        <w:trPr>
          <w:cantSplit/>
          <w:trHeight w:val="42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19428F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Zadania </w:t>
            </w:r>
            <w:r w:rsidR="002128E8">
              <w:rPr>
                <w:rFonts w:ascii="Cambria" w:hAnsi="Cambria" w:cs="Cambria"/>
                <w:b/>
                <w:bCs/>
                <w:color w:val="000000"/>
              </w:rPr>
              <w:t>w innej formie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badawcze, projekty edukacyjne itp. np.: prowadzenie doświadczeń, wykonywanie modeli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dodatkowe, np.: wykonywanie plakatów, planszy, pomocy dydaktycznych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2128E8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Znajomość mapy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lista obiektów geograficznych podanych przez nauczyciela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zapowiedziane przynajmniej z tygodniowym wyprzedzeniem </w:t>
            </w:r>
          </w:p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 adnotacja w e –dzienniku)</w:t>
            </w:r>
          </w:p>
        </w:tc>
      </w:tr>
      <w:tr w:rsidR="002128E8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Odpowiedzi ustne/aktywność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dana partia materiału - maksymalnie 3 ostatnie lekcje 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bez zapowiedzi</w:t>
            </w:r>
          </w:p>
        </w:tc>
      </w:tr>
      <w:tr w:rsidR="002128E8" w:rsidTr="002128E8">
        <w:trPr>
          <w:cantSplit/>
          <w:trHeight w:val="353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Praca na lekcji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(indywidualna</w:t>
            </w:r>
          </w:p>
          <w:p w:rsidR="002128E8" w:rsidRDefault="002128E8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zespołowa)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bieżący materiał nauczania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E8" w:rsidRDefault="002128E8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ocenie podlegają: aktywność, zaangażowanie, umiejętność pracy samodzielnej oraz praca </w:t>
            </w:r>
            <w:r>
              <w:rPr>
                <w:rFonts w:ascii="Cambria" w:hAnsi="Cambria" w:cs="Cambria"/>
                <w:color w:val="000000"/>
              </w:rPr>
              <w:br/>
              <w:t>w grupie</w:t>
            </w:r>
          </w:p>
        </w:tc>
      </w:tr>
    </w:tbl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i/>
          <w:iCs/>
          <w:color w:val="FFFFFF"/>
        </w:rPr>
        <w:t xml:space="preserve">26 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 xml:space="preserve">Pozostałe ustalenia dotyczące sposobów bieżącego sprawdzania </w:t>
      </w: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>postępów ucznia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color w:val="00000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1. Sprawdziany pisemne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p w:rsidR="002128E8" w:rsidRDefault="002128E8" w:rsidP="002128E8">
      <w:pPr>
        <w:numPr>
          <w:ilvl w:val="0"/>
          <w:numId w:val="8"/>
        </w:numPr>
        <w:rPr>
          <w:rFonts w:hint="eastAsia"/>
        </w:rPr>
      </w:pPr>
      <w:r>
        <w:rPr>
          <w:rFonts w:ascii="Cambria" w:hAnsi="Cambria" w:cs="Cambria"/>
          <w:color w:val="000000"/>
        </w:rPr>
        <w:t>Sprawdziany pisemne są obowiązkowe.</w:t>
      </w:r>
    </w:p>
    <w:p w:rsidR="002128E8" w:rsidRDefault="002128E8" w:rsidP="002128E8">
      <w:pPr>
        <w:numPr>
          <w:ilvl w:val="0"/>
          <w:numId w:val="8"/>
        </w:numPr>
        <w:rPr>
          <w:rFonts w:hint="eastAsia"/>
        </w:rPr>
      </w:pPr>
      <w:r>
        <w:rPr>
          <w:rFonts w:ascii="Cambria" w:hAnsi="Cambria" w:cs="Cambria"/>
          <w:color w:val="000000"/>
        </w:rPr>
        <w:t>Uczeń, który nie zgłosił się na sprawdzian z przyczyn usprawiedliwionych, musi przystąpić do niego w ciągu dwóch tygodni od daty powrotu do szkoły w terminie uzgodnionym z nauczycielem.</w:t>
      </w:r>
    </w:p>
    <w:p w:rsidR="002128E8" w:rsidRDefault="002128E8" w:rsidP="002128E8">
      <w:pPr>
        <w:numPr>
          <w:ilvl w:val="0"/>
          <w:numId w:val="8"/>
        </w:numPr>
        <w:rPr>
          <w:rFonts w:hint="eastAsia"/>
        </w:rPr>
      </w:pPr>
      <w:r>
        <w:rPr>
          <w:rFonts w:ascii="Cambria" w:hAnsi="Cambria" w:cs="Cambria"/>
          <w:color w:val="000000"/>
        </w:rPr>
        <w:t xml:space="preserve">w przypadku nieobecności nieusprawiedliwionej lub gdy uczeń unika wyznaczenia terminu, nauczyciel ma prawo zobowiązać go do napisania sprawdzianu w terminie przez siebie wyznaczonym, bez wcześniejszego poinformowania ucznia.  </w:t>
      </w:r>
    </w:p>
    <w:p w:rsidR="002128E8" w:rsidRDefault="002128E8" w:rsidP="002128E8">
      <w:pPr>
        <w:numPr>
          <w:ilvl w:val="0"/>
          <w:numId w:val="8"/>
        </w:numPr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 ma prawo do poprawy oceny niedostatecznej z pracy kontrolnej jednogodzinnej w ciągu dwóch tygodni od dnia otrzymania oficjalnej informacji o uzyskanej ocenie </w:t>
      </w:r>
    </w:p>
    <w:p w:rsidR="002128E8" w:rsidRDefault="002128E8" w:rsidP="002128E8">
      <w:pPr>
        <w:rPr>
          <w:rFonts w:ascii="Cambria" w:hAnsi="Cambria" w:cs="Cambria"/>
          <w:color w:val="FF0000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widowControl/>
        <w:rPr>
          <w:rFonts w:hint="eastAsia"/>
        </w:rPr>
      </w:pPr>
      <w:r>
        <w:rPr>
          <w:rFonts w:ascii="Cambria" w:hAnsi="Cambria" w:cs="Cambria"/>
          <w:b/>
          <w:bCs/>
          <w:color w:val="000099"/>
        </w:rPr>
        <w:t xml:space="preserve">2. Sposób oceniania prac pisemnych. </w:t>
      </w:r>
    </w:p>
    <w:p w:rsidR="002128E8" w:rsidRDefault="002128E8" w:rsidP="002128E8">
      <w:pPr>
        <w:widowControl/>
        <w:jc w:val="center"/>
        <w:rPr>
          <w:rFonts w:ascii="Cambria" w:hAnsi="Cambria" w:cs="Cambria"/>
          <w:b/>
          <w:bCs/>
          <w:color w:val="000099"/>
          <w:sz w:val="26"/>
          <w:szCs w:val="26"/>
        </w:rPr>
      </w:pPr>
    </w:p>
    <w:p w:rsidR="002128E8" w:rsidRDefault="002128E8" w:rsidP="002128E8">
      <w:pPr>
        <w:widowControl/>
        <w:rPr>
          <w:rFonts w:hint="eastAsia"/>
        </w:rPr>
      </w:pPr>
      <w:r>
        <w:rPr>
          <w:rFonts w:ascii="Cambria" w:hAnsi="Cambria" w:cs="Cambria"/>
          <w:color w:val="000000"/>
        </w:rPr>
        <w:t xml:space="preserve">Oceny prac pisemnych dokonuje się zgodnie z podaną niżej skalą procentową. </w:t>
      </w:r>
    </w:p>
    <w:p w:rsidR="002128E8" w:rsidRDefault="002128E8" w:rsidP="002128E8">
      <w:pPr>
        <w:rPr>
          <w:rFonts w:ascii="Cambria" w:hAnsi="Cambria" w:cs="Cambria"/>
          <w:color w:val="000000"/>
        </w:rPr>
      </w:pPr>
    </w:p>
    <w:p w:rsidR="002128E8" w:rsidRDefault="002128E8" w:rsidP="002128E8">
      <w:pPr>
        <w:widowControl/>
        <w:rPr>
          <w:rFonts w:hint="eastAsia"/>
        </w:rPr>
      </w:pPr>
      <w:r>
        <w:rPr>
          <w:rFonts w:ascii="Cambria" w:eastAsia="Cambria" w:hAnsi="Cambria" w:cs="Cambria"/>
          <w:color w:val="000000"/>
        </w:rPr>
        <w:t xml:space="preserve">             100% - 98% celujący</w:t>
      </w:r>
    </w:p>
    <w:p w:rsidR="002128E8" w:rsidRDefault="002128E8" w:rsidP="002128E8">
      <w:pPr>
        <w:widowControl/>
        <w:autoSpaceDE w:val="0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             97% - + bardzo dobry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96% - 91 % bardzo dobry 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90% - - bardzo dobry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89% - + dobry</w:t>
      </w:r>
    </w:p>
    <w:p w:rsidR="002128E8" w:rsidRDefault="002128E8" w:rsidP="002128E8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88 – 76 % dobry</w:t>
      </w:r>
    </w:p>
    <w:p w:rsidR="002128E8" w:rsidRDefault="002128E8" w:rsidP="002128E8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75% - - dobry</w:t>
      </w:r>
    </w:p>
    <w:p w:rsidR="002128E8" w:rsidRDefault="002128E8" w:rsidP="002128E8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74% - + dostateczny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73 – 51% dostateczny 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50% -  - dostateczny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49% -  + dopuszczający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48 – 36 % dopuszczający 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35% -  - dopuszczający</w:t>
      </w:r>
    </w:p>
    <w:p w:rsidR="002128E8" w:rsidRDefault="002128E8" w:rsidP="002128E8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34% - + niedostateczny</w:t>
      </w:r>
    </w:p>
    <w:p w:rsidR="002128E8" w:rsidRDefault="002128E8" w:rsidP="002128E8">
      <w:pPr>
        <w:widowControl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33 % - 0 niedostateczny 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lastRenderedPageBreak/>
        <w:t>3. Kartkówki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color w:val="000000"/>
        </w:rPr>
        <w:t>Nieobecność ucznia na kartkówce nie zobowiązuje go do zaliczania danej partii materiału.</w:t>
      </w:r>
    </w:p>
    <w:p w:rsidR="002128E8" w:rsidRDefault="002128E8" w:rsidP="002128E8">
      <w:pPr>
        <w:rPr>
          <w:rFonts w:ascii="Cambria" w:hAnsi="Cambria" w:cs="Cambria"/>
          <w:color w:val="00000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4. Odpowiedzi ustne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tbl>
      <w:tblPr>
        <w:tblW w:w="9451" w:type="dxa"/>
        <w:tblInd w:w="76" w:type="dxa"/>
        <w:tblBorders>
          <w:top w:val="single" w:sz="8" w:space="0" w:color="006600"/>
          <w:left w:val="single" w:sz="8" w:space="0" w:color="006600"/>
          <w:bottom w:val="single" w:sz="8" w:space="0" w:color="006600"/>
          <w:insideH w:val="single" w:sz="8" w:space="0" w:color="006600"/>
        </w:tblBorders>
        <w:tblCellMar>
          <w:left w:w="35" w:type="dxa"/>
          <w:right w:w="85" w:type="dxa"/>
        </w:tblCellMar>
        <w:tblLook w:val="0000"/>
      </w:tblPr>
      <w:tblGrid>
        <w:gridCol w:w="2324"/>
        <w:gridCol w:w="7127"/>
      </w:tblGrid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Oceny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Kryteria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celujący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wyczerpująca; uczeń potrafi wykorzystać swoją wiedzę i umiejętności w sytuacjach problemowych i nietypowych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bardzo dobry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wyczerpująca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dobry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niepełna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dostateczny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 w pełni samodzielna, pojawiają się błędy merytoryczne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dopuszczający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niesamodzielna, pomijająca istotne treści merytoryczne</w:t>
            </w:r>
          </w:p>
        </w:tc>
      </w:tr>
      <w:tr w:rsidR="002128E8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niedostateczny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2128E8" w:rsidRDefault="002128E8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niesamodzielna, poważne błędy merytoryczne lub brak odpowiedzi</w:t>
            </w:r>
          </w:p>
        </w:tc>
      </w:tr>
    </w:tbl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color w:val="000000"/>
        </w:rPr>
        <w:t>Przy wystawieniu oceny za odpowiedź ustną nauczyciel powinien przekazać uczniowi informację zwrotną.</w:t>
      </w:r>
    </w:p>
    <w:p w:rsidR="002128E8" w:rsidRDefault="002128E8" w:rsidP="002128E8">
      <w:pPr>
        <w:rPr>
          <w:rFonts w:ascii="Cambria" w:hAnsi="Cambria" w:cs="Cambria"/>
          <w:color w:val="00000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5. Nieprzygotowanie do zajęć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p w:rsidR="002128E8" w:rsidRDefault="002128E8" w:rsidP="002128E8">
      <w:pPr>
        <w:autoSpaceDE w:val="0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 ma prawo zgłosić nieprzygotowanie oraz brak zadania. O powyższym fakcie uczeń jest zobowiązany poinformować nauczyciela na początku lekcji. Nieprzygotowanie nie zwalnia ucznia z aktywności na lekcji. Brak podręcznika (1 na dwoje uczniów) lub innych koniecznych materiałów ( np. atlasu) uniemożliwiający pracę na lekcji jest równoznaczne z nieprzygotowaniem ucznia do zajęć. Liczbę </w:t>
      </w:r>
      <w:proofErr w:type="spellStart"/>
      <w:r>
        <w:rPr>
          <w:rFonts w:ascii="Cambria" w:hAnsi="Cambria" w:cs="Cambria"/>
          <w:color w:val="000000"/>
        </w:rPr>
        <w:t>nieprzygotowań</w:t>
      </w:r>
      <w:proofErr w:type="spellEnd"/>
      <w:r>
        <w:rPr>
          <w:rFonts w:ascii="Cambria" w:hAnsi="Cambria" w:cs="Cambria"/>
          <w:color w:val="000000"/>
        </w:rPr>
        <w:t xml:space="preserve"> i braków zadania ustala nauczyciel na lekcji organizacyjnej. </w:t>
      </w:r>
    </w:p>
    <w:p w:rsidR="002128E8" w:rsidRDefault="002128E8" w:rsidP="002128E8">
      <w:pPr>
        <w:rPr>
          <w:rFonts w:ascii="Cambria" w:hAnsi="Cambria" w:cs="Cambria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6. Znajomość mapy: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 xml:space="preserve">Każdy uczeń jest zobowiązany zaliczyć w formie ustnej lub pisemnej opanowanie  znajomości  mapy z obiektów geograficznych podanych przez nauczyciela na początku roku szkolnego. </w:t>
      </w:r>
    </w:p>
    <w:p w:rsidR="002128E8" w:rsidRDefault="002128E8" w:rsidP="002128E8">
      <w:pPr>
        <w:rPr>
          <w:rFonts w:ascii="Cambria" w:hAnsi="Cambria" w:cs="Cambria"/>
          <w:color w:val="00008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7. Prace domowe</w:t>
      </w:r>
    </w:p>
    <w:p w:rsidR="002128E8" w:rsidRDefault="002128E8" w:rsidP="002128E8">
      <w:pPr>
        <w:rPr>
          <w:rFonts w:ascii="Cambria" w:hAnsi="Cambria" w:cs="Cambria"/>
          <w:b/>
          <w:bCs/>
          <w:color w:val="000080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color w:val="000000"/>
        </w:rPr>
        <w:t>Częste braki zadań domowych i zeszytu przedmiotowego (ponad zasadę ustaloną) mogą być odnotowane w dzienniku lekcyjnym znakiem /- / i mogą mieć wpływ na ocenę z zajęć edukacyjnych.</w:t>
      </w:r>
    </w:p>
    <w:p w:rsidR="002128E8" w:rsidRDefault="002128E8" w:rsidP="002128E8">
      <w:pPr>
        <w:rPr>
          <w:rFonts w:ascii="Cambria" w:hAnsi="Cambria" w:cs="Cambria"/>
          <w:b/>
          <w:bCs/>
          <w:color w:val="000000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>Sprawdzenie i ocenianie sumujące postępy ucznia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color w:val="000000"/>
        </w:rPr>
        <w:t>Uczeń otrzymuje za swoje osiągnięcia w danym roku szkolnym oceny:</w:t>
      </w:r>
      <w:bookmarkStart w:id="1" w:name="_GoBack"/>
      <w:bookmarkEnd w:id="1"/>
      <w:r>
        <w:rPr>
          <w:rFonts w:ascii="Cambria" w:hAnsi="Cambria" w:cs="Cambria"/>
          <w:color w:val="000000"/>
        </w:rPr>
        <w:t xml:space="preserve"> śródroczną i roczną. Wystawia je nauczyciel na podstawie ocen cząstkowych ze wszystkich form aktywności ucznia (w tym również aktywność na lekcjach, umiejętność samodzielnego,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</w:rPr>
        <w:t>końcoworoczną</w:t>
      </w:r>
      <w:proofErr w:type="spellEnd"/>
      <w:r>
        <w:rPr>
          <w:rFonts w:ascii="Cambria" w:hAnsi="Cambria" w:cs="Cambria"/>
          <w:color w:val="000000"/>
        </w:rPr>
        <w:t>) jednak nie jest to średnia arytmetyczna.</w:t>
      </w:r>
    </w:p>
    <w:p w:rsidR="002128E8" w:rsidRDefault="002128E8" w:rsidP="002128E8">
      <w:pPr>
        <w:rPr>
          <w:rFonts w:ascii="Cambria" w:hAnsi="Cambria" w:cs="Cambria"/>
          <w:color w:val="000000"/>
        </w:rPr>
      </w:pPr>
    </w:p>
    <w:p w:rsidR="002128E8" w:rsidRDefault="002128E8" w:rsidP="002128E8">
      <w:pPr>
        <w:pBdr>
          <w:bottom w:val="single" w:sz="8" w:space="2" w:color="000001"/>
        </w:pBdr>
        <w:jc w:val="center"/>
        <w:rPr>
          <w:rFonts w:ascii="Cambria" w:hAnsi="Cambria" w:cs="Cambria"/>
          <w:b/>
          <w:bCs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sz w:val="28"/>
          <w:szCs w:val="28"/>
        </w:rPr>
        <w:t>PODSTAWA PROGRAMOWA KSZTAŁCENIA OGÓLNEGO -</w:t>
      </w: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GEOGRAFIA KLASA VII</w:t>
      </w:r>
    </w:p>
    <w:p w:rsidR="002128E8" w:rsidRDefault="002128E8" w:rsidP="002128E8">
      <w:pPr>
        <w:jc w:val="center"/>
        <w:rPr>
          <w:rFonts w:ascii="Cambria" w:hAnsi="Cambria" w:cs="Cambria"/>
          <w:b/>
          <w:bCs/>
          <w:color w:val="006600"/>
          <w:sz w:val="26"/>
          <w:szCs w:val="26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006600"/>
          <w:sz w:val="26"/>
          <w:szCs w:val="26"/>
        </w:rPr>
        <w:t>Cele kształcenia – wymagania ogólne</w:t>
      </w:r>
    </w:p>
    <w:p w:rsidR="002128E8" w:rsidRDefault="002128E8" w:rsidP="002128E8">
      <w:pPr>
        <w:rPr>
          <w:rFonts w:ascii="Cambria" w:hAnsi="Cambria" w:cs="Cambria"/>
          <w:b/>
          <w:bCs/>
          <w:color w:val="006600"/>
        </w:rPr>
      </w:pP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Wiedza geograficzna. 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1. Opanowanie podstawowego słownictwa geograficznego w celu opisywania oraz wyjaśniania występujących w środowisku geograficznym zjawisk i zachodzących w nim procesów.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2. Poznanie wybranych krajobrazów Polski i świata, ich głównych cech i składników.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3. Poznanie głównych cech środowiska geograficznego Polski, własnego regionu oraz najbliższego otoczenia – „małej ojczyzny”, a także wybranych krajów i regionów Europy oraz świata.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4. Poznanie zróżnicowanych form działalności człowieka w środowisku, ich uwarunkowań                 i konsekwencji oraz dostrzeganie potrzeby racjonalnego gospodarowania zasobami przyrody.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5. Rozumienie zróżnicowania przyrodniczego,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i kulturowego świata.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6. Identyfikowanie współzależności między elementami środowiska przyrodniczego                    i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oraz związków i zależności w środowisku geograficznym w skali lokalnej, regionalnej i globalnej.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7. Określanie prawidłowości w zakresie przestrzennego zróżnicowania warunków środowiska przyrodniczego oraz życia i różnych form działalności człowieka.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8. Integrowanie wiedzy przyrodniczej z wiedzą społeczno-ekonomiczną i humanistyczną. 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 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Umiejętności i stosowanie wiedzy w praktyce</w:t>
      </w:r>
    </w:p>
    <w:p w:rsidR="002128E8" w:rsidRDefault="002128E8" w:rsidP="002128E8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1. Prowadzenie obserwacji i pomiarów w terenie, analizowanie pozyskanych danych                           i formułowanie wniosków na ich podstawie.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2. Korzystanie z planów, map, fotografii, rysunków, wykresów, diagramów, danych statystycznych, tekstów źródłowych oraz technologii informacyjno komunikacyjnych w celu zdobywania, przetwarzania i prezentowania informacji geograficznych.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3. Interpretowanie map różnej treści.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4. Określanie związków i zależności między poszczególnymi elementami środowiska przyrodniczego, społeczno-gospodarczego i kulturowego, formułowanie twierdzenia                          o prawidłowościach, dokonywanie uogólnień.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5. Ocenianie zjawisk i procesów społeczno-kulturowych oraz gospodarczych zachodzących w Polsce i w różnych regionach świata.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6. Stawianie pytań, formułowanie hipotez oraz proponowanie rozwiązań problemów dotyczących środowiska geograficznego.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7. Podejmowanie nowych wyzwań oraz racjonalnych działań </w:t>
      </w:r>
      <w:proofErr w:type="spellStart"/>
      <w:r>
        <w:rPr>
          <w:rFonts w:ascii="Cambria" w:hAnsi="Cambria" w:cs="Cambria"/>
        </w:rPr>
        <w:t>prośrodowiskowych</w:t>
      </w:r>
      <w:proofErr w:type="spellEnd"/>
      <w:r>
        <w:rPr>
          <w:rFonts w:ascii="Cambria" w:hAnsi="Cambria" w:cs="Cambria"/>
        </w:rPr>
        <w:t xml:space="preserve">                                  i społecznych.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8. Rozwijanie umiejętności percepcji przestrzeni i wyobraźni przestrzennej.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9. Podejmowanie konstruktywnej współpracy i rozwijanie umiejętności komunikowania się                    z innymi.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10. Wykorzystywanie zdobytej wiedzy i umiejętności geograficznych w życiu codziennym. </w:t>
      </w:r>
    </w:p>
    <w:p w:rsidR="002128E8" w:rsidRDefault="002128E8" w:rsidP="002128E8">
      <w:pPr>
        <w:ind w:left="360"/>
        <w:jc w:val="both"/>
        <w:rPr>
          <w:rFonts w:hint="eastAsia"/>
        </w:rPr>
      </w:pPr>
      <w:r>
        <w:rPr>
          <w:rFonts w:ascii="Cambria" w:hAnsi="Cambria" w:cs="Cambria"/>
        </w:rPr>
        <w:t xml:space="preserve"> 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III. Kształtowanie postaw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1. Rozpoznawanie swoich predyspozycji i talentów oraz rozwijanie pasji i zainteresowań geograficznych.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2. Łączenie racjonalności naukowej z refleksją nad pięknem i harmonią świata przyrody oraz dziedzictwem kulturowym ludzkości.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lastRenderedPageBreak/>
        <w:t>3. Przyjmowanie postawy szacunku do środowiska przyrodniczego i kulturowego oraz rozumienie potrzeby racjonalnego w nim gospodarowania.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4. Rozwijanie w sobie poczucia tożsamości oraz wykazywanie postawy patriotycznej, wspólnotowej i obywatelskiej.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5. 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6. Kształtowanie pozytywnych – emocjonalnych i duchowych – więzi z najbliższym otoczeniem, krajem ojczystym, a także z całą planetą Ziemią.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7. Rozwijanie zdolności percepcji najbliższego otoczenia i miejsca rozumianego jako „oswojona” najbliższa przestrzeń, której nadaje pozytywne znaczenia.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</w:rPr>
        <w:t>8. Rozwijanie postawy współodpowiedzialności za stan środowiska geograficznego, kształtowanie ładu przestrzennego oraz przyszłego rozwoju społeczno-kulturowego                              i gospodarczego „małej ojczyzny”, własnego regionu i Polski.</w:t>
      </w:r>
    </w:p>
    <w:p w:rsidR="002128E8" w:rsidRDefault="002128E8" w:rsidP="002128E8">
      <w:pPr>
        <w:jc w:val="both"/>
        <w:rPr>
          <w:rFonts w:hint="eastAsia"/>
        </w:rPr>
      </w:pPr>
      <w:bookmarkStart w:id="2" w:name="__DdeLink__3824_1411403606"/>
      <w:bookmarkEnd w:id="2"/>
      <w:r>
        <w:rPr>
          <w:rFonts w:ascii="Cambria" w:hAnsi="Cambria" w:cs="Cambria"/>
        </w:rPr>
        <w:t>9. 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2128E8" w:rsidRDefault="002128E8" w:rsidP="002128E8">
      <w:pPr>
        <w:ind w:left="360"/>
        <w:jc w:val="both"/>
        <w:rPr>
          <w:rFonts w:ascii="Cambria" w:hAnsi="Cambria" w:cs="Cambria"/>
        </w:rPr>
      </w:pPr>
    </w:p>
    <w:p w:rsidR="002128E8" w:rsidRDefault="002128E8" w:rsidP="002128E8">
      <w:pPr>
        <w:ind w:left="360"/>
        <w:jc w:val="both"/>
        <w:rPr>
          <w:rFonts w:ascii="Cambria" w:hAnsi="Cambria" w:cs="Cambria"/>
        </w:rPr>
      </w:pPr>
    </w:p>
    <w:p w:rsidR="002128E8" w:rsidRDefault="002128E8" w:rsidP="002128E8">
      <w:pPr>
        <w:ind w:left="360"/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006600"/>
          <w:sz w:val="26"/>
          <w:szCs w:val="26"/>
        </w:rPr>
        <w:t>Treści nauczania i wymagania szczegółowe</w:t>
      </w:r>
    </w:p>
    <w:p w:rsidR="002128E8" w:rsidRDefault="002128E8" w:rsidP="002128E8">
      <w:pPr>
        <w:ind w:left="360"/>
        <w:rPr>
          <w:rFonts w:ascii="Cambria" w:hAnsi="Cambria" w:cs="Cambria"/>
          <w:color w:val="000000"/>
          <w:sz w:val="26"/>
          <w:szCs w:val="26"/>
        </w:rPr>
      </w:pP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V. Ruchy Ziemi: Ziemia w Układzie Słonecznym; ruch obrotowy i obiegowy; następstwa ruchów Ziemi. 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Uczeń:  1) dokonuje pomiaru wysokości Słońca w trakcie zajęć w terenie oraz porównuje wyniki uzyskane w różnych porach dnia i roku; 2) demonstruje przy użyciu modeli (np. globusa lub tellurium) ruch obrotowy Ziemi, określa jego kierunek, czas trwania, miejsca wschodu i zachodu Słońca oraz południa słonecznego;  3) wyjaśnia związek między ruchem obrotowym a widomą wędrówką i górowaniem Słońca, istnieniem dnia i nocy, dobowym rytmem życia człowieka i przyrody, występowaniem stref czasowych;  4) demonstruje przy użyciu modeli (np. tellurium lub globusów) ruch obiegowy Ziemi;  5) przedstawia zmiany w oświetleniu Ziemi w pierwszych dniach astronomicznych pór roku; 6) wykazuje związek między ruchem obiegowym Ziemi a strefami jej oświetlenia oraz strefowym zróżnicowaniem klimatu i krajobrazów na Ziemi. </w:t>
      </w: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</w:p>
    <w:p w:rsidR="002128E8" w:rsidRDefault="002128E8" w:rsidP="002128E8">
      <w:pPr>
        <w:jc w:val="both"/>
        <w:rPr>
          <w:rFonts w:hint="eastAsia"/>
          <w:b/>
          <w:bCs/>
        </w:rPr>
      </w:pPr>
      <w:r>
        <w:rPr>
          <w:rFonts w:ascii="Cambria" w:hAnsi="Cambria" w:cs="Cambria"/>
          <w:b/>
          <w:bCs/>
          <w:color w:val="000000"/>
        </w:rPr>
        <w:t>VI. Współrzędne geograficzne: szerokość i długość geograficzna; położenie matematyczno geograficzne punktów i obszarów; rozciągłość południkowa i równoleżnikowa.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Uczeń: 1) odczytuje szerokość i długość geograficzną wybranych punktów na globusie i na mapie; 2) na podstawie podanych współrzędnych geograficznych wskazuje położenie punktów i obszarów na mapach w różnych skalach;  3) wyznacza w terenie współrzędne dowolnych punktów (za pomocą mapy lub GPS). </w:t>
      </w: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</w:p>
    <w:p w:rsidR="002128E8" w:rsidRDefault="002128E8" w:rsidP="002128E8">
      <w:pPr>
        <w:jc w:val="both"/>
        <w:rPr>
          <w:rFonts w:hint="eastAsia"/>
          <w:b/>
          <w:bCs/>
        </w:rPr>
      </w:pPr>
      <w:r>
        <w:rPr>
          <w:rFonts w:ascii="Cambria" w:hAnsi="Cambria" w:cs="Cambria"/>
          <w:b/>
          <w:bCs/>
          <w:color w:val="000000"/>
        </w:rPr>
        <w:t xml:space="preserve">VII.   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Południowej. </w:t>
      </w:r>
    </w:p>
    <w:p w:rsidR="002128E8" w:rsidRDefault="002128E8" w:rsidP="002128E8">
      <w:pPr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Uczeń: 1) charakteryzuje położenie, przebieg granic oraz linii brzegowej Europy; 2) przedstawia podział polityczny Europy oraz rolę Unii Europejskiej  w przemianach </w:t>
      </w:r>
      <w:r>
        <w:rPr>
          <w:rFonts w:ascii="Cambria" w:hAnsi="Cambria" w:cs="Cambria"/>
          <w:color w:val="000000"/>
        </w:rPr>
        <w:lastRenderedPageBreak/>
        <w:t xml:space="preserve">społecznych i gospodarczych kontynentu; 3) charakteryzuje ukształtowanie powierzchni Europy; 4) na przykładzie Islandii określa związek między położeniem na granicy płyt litosfery a występowaniem wulkanów i trzęsień ziemi; 5) przedstawia zróżnicowanie klimatyczne Europy oraz czynniki, które o nim decydują; 6) wyjaśnia rozmieszczenie ludności oraz główne przyczyny i skutki starzenia się społeczeństw w Europie; 7) wyjaśnia przyczyny           i konsekwencje zróżnicowania demograficznego ludności Europy; 8) ocenia społeczno-ekonomiczne i kulturowe konsekwencje migracji na obszarze Europy; 9) określa podobieństwa i różnice między wielkimi miastami Europy: Londynem i Paryżem; 10) porównuje cechy rolnictwa Danii i Węgier; 11) wykazuje związek między cechami środowiska przyrodniczego wybranych krajów Europy a wykorzystaniem różnych źródeł energii; 12) przedstawia znaczenie nowoczesnego przemysłu i usług w gospodarce  na przykładzie Francji; 13) wykazuje związki między rozwojem turystyki w Europie Południowej                                    a warunkami przyrodniczymi oraz dziedzictwem kultury śródziemnomorskiej; 14) przyjmuje postawę szacunku i zrozumienia innych kultur przy zachowaniu poczucia wartości dziedzictwa kulturowego własnego kraju.  </w:t>
      </w: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VIII. Sąsiedzi Polski: przemiany przemysłu w Niemczech; dziedzictwo kulturowe Litwy i Białorusi; środowisko przyrodnicze i atrakcje turystyczne Czech i Słowacji; problemy polityczne, społeczne i gospodarcze Ukrainy; zróżnicowanie przyrodnicze i </w:t>
      </w:r>
      <w:proofErr w:type="spellStart"/>
      <w:r>
        <w:rPr>
          <w:rFonts w:ascii="Cambria" w:hAnsi="Cambria" w:cs="Cambria"/>
          <w:b/>
          <w:bCs/>
          <w:color w:val="000000"/>
        </w:rPr>
        <w:t>społecznogospodarcze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Rosji; relacje Polski z sąsiadami.</w:t>
      </w:r>
    </w:p>
    <w:p w:rsidR="002128E8" w:rsidRDefault="002128E8" w:rsidP="002128E8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Uczeń: 1) charakteryzuje przemiany w strukturze przemysłu w Niemczech na przykładzie Nadrenii Północnej-Westfalii; 2) projektuje trasę wycieczki po Litwie i Białorusi uwzględniającej wybrane walory środowiska przyrodniczego i kulturowego; 3) przedstawia przykłady atrakcji turystycznych i rekreacyjno-sportowych Czech i Słowacji; 4) rozumie problemy polityczne, społeczne i gospodarcze Ukrainy;  5) wykazuje zróżnicowanie środowiska przyrodniczego i charakteryzuje gospodarkę Rosji;  6) charakteryzuje relacje Polski z krajami sąsiadującymi; 7) rozumie potrzebę kształtowania dobrych relacji Polski z jej sąsiadami. </w:t>
      </w:r>
    </w:p>
    <w:p w:rsidR="002128E8" w:rsidRDefault="002128E8" w:rsidP="002128E8">
      <w:pPr>
        <w:jc w:val="both"/>
        <w:rPr>
          <w:rFonts w:ascii="Cambria" w:hAnsi="Cambria" w:cs="Cambria"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color w:val="006600"/>
          <w:sz w:val="28"/>
          <w:szCs w:val="28"/>
        </w:rPr>
      </w:pPr>
    </w:p>
    <w:p w:rsidR="002128E8" w:rsidRDefault="002128E8" w:rsidP="002128E8">
      <w:pPr>
        <w:jc w:val="center"/>
        <w:rPr>
          <w:rFonts w:ascii="Cambria" w:hAnsi="Cambria" w:cs="Cambria"/>
          <w:b/>
          <w:bCs/>
          <w:color w:val="006600"/>
          <w:sz w:val="28"/>
          <w:szCs w:val="28"/>
        </w:rPr>
      </w:pPr>
    </w:p>
    <w:p w:rsidR="002128E8" w:rsidRDefault="002128E8" w:rsidP="002128E8">
      <w:pPr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006600"/>
          <w:sz w:val="28"/>
          <w:szCs w:val="28"/>
        </w:rPr>
        <w:t>ZNAJOMOŚĆ MAPY W KLASIE VI SP – WYKAZ OBIEKTÓW</w:t>
      </w:r>
    </w:p>
    <w:p w:rsidR="002128E8" w:rsidRDefault="002128E8" w:rsidP="002128E8">
      <w:pPr>
        <w:rPr>
          <w:rFonts w:ascii="Cambria" w:hAnsi="Cambria" w:cs="Cambria"/>
          <w:b/>
          <w:bCs/>
        </w:rPr>
      </w:pPr>
    </w:p>
    <w:p w:rsidR="002128E8" w:rsidRDefault="002128E8" w:rsidP="002128E8">
      <w:pPr>
        <w:rPr>
          <w:rFonts w:ascii="Cambria" w:hAnsi="Cambria" w:cs="Cambria"/>
          <w:b/>
          <w:bCs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</w:rPr>
        <w:t xml:space="preserve">UCZEŃ: </w:t>
      </w:r>
    </w:p>
    <w:p w:rsidR="002128E8" w:rsidRDefault="002128E8" w:rsidP="002128E8">
      <w:pPr>
        <w:pStyle w:val="Default"/>
        <w:numPr>
          <w:ilvl w:val="0"/>
          <w:numId w:val="9"/>
        </w:numPr>
      </w:pPr>
      <w:r>
        <w:rPr>
          <w:rFonts w:ascii="Cambria" w:hAnsi="Cambria" w:cs="Cambria"/>
        </w:rPr>
        <w:t xml:space="preserve">wskazuje na globusie i mapie świata: bieguny, równik, południk zerowy i 180°, półkule, zwrotniki i koła podbiegunowe, </w:t>
      </w:r>
    </w:p>
    <w:p w:rsidR="002128E8" w:rsidRDefault="002128E8" w:rsidP="002128E8">
      <w:pPr>
        <w:pStyle w:val="Default"/>
        <w:numPr>
          <w:ilvl w:val="0"/>
          <w:numId w:val="9"/>
        </w:numPr>
      </w:pPr>
      <w:r>
        <w:rPr>
          <w:rFonts w:ascii="Cambria" w:hAnsi="Cambria" w:cs="Cambria"/>
        </w:rPr>
        <w:t xml:space="preserve">wymienia nazwy i wskazuje na globusie i mapie świata kontynenty i oceany oraz określa ich położenie względem równika i południka zerowego, </w:t>
      </w:r>
    </w:p>
    <w:p w:rsidR="002128E8" w:rsidRDefault="002128E8" w:rsidP="002128E8">
      <w:pPr>
        <w:pStyle w:val="Default"/>
        <w:numPr>
          <w:ilvl w:val="0"/>
          <w:numId w:val="9"/>
        </w:numPr>
      </w:pPr>
      <w:r>
        <w:rPr>
          <w:rFonts w:ascii="Cambria" w:hAnsi="Cambria" w:cs="Cambria"/>
        </w:rPr>
        <w:t>wskazuje na mapie wielkie formy ukształtowania powierzchni Ziemi i akweny morskie na trasach pierwszych podróży geograficznych.</w:t>
      </w:r>
    </w:p>
    <w:p w:rsidR="002128E8" w:rsidRDefault="002128E8" w:rsidP="002128E8">
      <w:pPr>
        <w:pStyle w:val="Default"/>
        <w:rPr>
          <w:rFonts w:ascii="Cambria" w:hAnsi="Cambria" w:cs="Cambria"/>
          <w:b/>
          <w:bCs/>
        </w:rPr>
      </w:pPr>
    </w:p>
    <w:p w:rsidR="002128E8" w:rsidRDefault="002128E8" w:rsidP="002128E8">
      <w:pPr>
        <w:pStyle w:val="Default"/>
        <w:rPr>
          <w:rFonts w:ascii="Cambria" w:hAnsi="Cambria" w:cs="Cambria"/>
          <w:b/>
          <w:bCs/>
        </w:rPr>
      </w:pPr>
    </w:p>
    <w:p w:rsidR="002128E8" w:rsidRDefault="002128E8" w:rsidP="002128E8">
      <w:pPr>
        <w:pStyle w:val="Default"/>
      </w:pPr>
      <w:r>
        <w:rPr>
          <w:rFonts w:ascii="Cambria" w:hAnsi="Cambria" w:cs="Cambria"/>
          <w:b/>
          <w:bCs/>
        </w:rPr>
        <w:t xml:space="preserve">ŚWIAT: </w:t>
      </w:r>
    </w:p>
    <w:p w:rsidR="002128E8" w:rsidRDefault="002128E8" w:rsidP="002128E8">
      <w:pPr>
        <w:pStyle w:val="Default"/>
        <w:rPr>
          <w:rFonts w:ascii="Cambria" w:hAnsi="Cambria" w:cs="Cambria"/>
          <w:b/>
          <w:bCs/>
        </w:rPr>
      </w:pPr>
    </w:p>
    <w:p w:rsidR="002128E8" w:rsidRDefault="002128E8" w:rsidP="002128E8">
      <w:pPr>
        <w:pStyle w:val="Default"/>
      </w:pPr>
      <w:r>
        <w:rPr>
          <w:rFonts w:ascii="Cambria" w:hAnsi="Cambria" w:cs="Cambria"/>
          <w:b/>
          <w:bCs/>
        </w:rPr>
        <w:t>Kontynenty:</w:t>
      </w:r>
      <w:r>
        <w:rPr>
          <w:rFonts w:ascii="Cambria" w:hAnsi="Cambria" w:cs="Cambria"/>
        </w:rPr>
        <w:t xml:space="preserve"> Azja, Ameryka Północna, Ameryka Południowa, Afryka, Europa, Antarktyda, Australia</w:t>
      </w:r>
    </w:p>
    <w:p w:rsidR="002128E8" w:rsidRDefault="002128E8" w:rsidP="002128E8">
      <w:pPr>
        <w:pStyle w:val="Default"/>
      </w:pPr>
      <w:r>
        <w:rPr>
          <w:rFonts w:ascii="Cambria" w:hAnsi="Cambria" w:cs="Cambria"/>
          <w:b/>
          <w:bCs/>
        </w:rPr>
        <w:t xml:space="preserve">Oceany: </w:t>
      </w:r>
      <w:r>
        <w:rPr>
          <w:rFonts w:ascii="Cambria" w:hAnsi="Cambria" w:cs="Cambria"/>
        </w:rPr>
        <w:t xml:space="preserve">Ocean Spokojny ( Pacyfik), Ocean Atlantycki, Ocean Indyjski, Ocean Arktyczny, Ocean Południowy </w:t>
      </w:r>
    </w:p>
    <w:p w:rsidR="002128E8" w:rsidRDefault="002128E8" w:rsidP="002128E8">
      <w:pPr>
        <w:pStyle w:val="Default"/>
        <w:rPr>
          <w:rFonts w:ascii="Cambria" w:hAnsi="Cambria" w:cs="Cambria"/>
        </w:rPr>
      </w:pPr>
    </w:p>
    <w:p w:rsidR="002128E8" w:rsidRDefault="002128E8" w:rsidP="002128E8">
      <w:pPr>
        <w:pStyle w:val="Default"/>
        <w:rPr>
          <w:rFonts w:ascii="Cambria" w:hAnsi="Cambria" w:cs="Cambria"/>
        </w:rPr>
      </w:pPr>
    </w:p>
    <w:p w:rsidR="002128E8" w:rsidRDefault="002128E8" w:rsidP="002128E8">
      <w:pPr>
        <w:pStyle w:val="Default"/>
        <w:rPr>
          <w:rFonts w:ascii="Cambria" w:hAnsi="Cambria" w:cs="Cambria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  <w:b/>
          <w:bCs/>
        </w:rPr>
        <w:t>EUROPA:</w:t>
      </w:r>
    </w:p>
    <w:p w:rsidR="002128E8" w:rsidRDefault="002128E8" w:rsidP="002128E8">
      <w:pPr>
        <w:rPr>
          <w:rFonts w:ascii="Cambria" w:hAnsi="Cambria" w:cs="Cambria"/>
          <w:b/>
          <w:bCs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>Mapa polityczna Europy</w:t>
      </w:r>
    </w:p>
    <w:p w:rsidR="002128E8" w:rsidRDefault="002128E8" w:rsidP="002128E8">
      <w:pPr>
        <w:rPr>
          <w:rFonts w:ascii="Cambria" w:hAnsi="Cambria" w:cs="Cambria"/>
        </w:rPr>
      </w:pP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>Niziny: Wschodnioeuropejska, Francuska, Niemiecka, Czarnomorska, Wołowska, Angielska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 xml:space="preserve">Wyżyny: Masyw Centralny, Wyżyna Środkowosyberyjska, 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>Góry: Ural, Alpy, Apeniny, Skandynawskie, Karpaty, Dynarskie, Pireneje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>Półwyspy: Skandynawski, Jutlandzki, Bretoński, Apeniński, Bałkański, Peloponez, Krym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 xml:space="preserve">Wyspy: Islandia, Irlandia, Sardynia, Korsyka, Sycylia, Kreta, 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>Cieśniny: Kaletańska, Gibraltarska, Bosfor, Sycylijska</w:t>
      </w:r>
    </w:p>
    <w:p w:rsidR="002128E8" w:rsidRDefault="002128E8" w:rsidP="002128E8">
      <w:pPr>
        <w:rPr>
          <w:rFonts w:hint="eastAsia"/>
        </w:rPr>
      </w:pPr>
      <w:r>
        <w:rPr>
          <w:rFonts w:ascii="Cambria" w:hAnsi="Cambria" w:cs="Cambria"/>
        </w:rPr>
        <w:t xml:space="preserve">Morza: Bałtyckie, Północne, Norweskie, Śródziemne, Czarne, Adriatyckie, </w:t>
      </w:r>
    </w:p>
    <w:p w:rsidR="002128E8" w:rsidRDefault="002128E8" w:rsidP="002128E8">
      <w:pPr>
        <w:rPr>
          <w:rFonts w:ascii="Cambria" w:hAnsi="Cambria" w:cs="Cambria"/>
        </w:rPr>
      </w:pPr>
    </w:p>
    <w:p w:rsidR="002128E8" w:rsidRDefault="002128E8" w:rsidP="002128E8">
      <w:pPr>
        <w:rPr>
          <w:rFonts w:ascii="Cambria" w:hAnsi="Cambria" w:cs="Cambr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hint="eastAsia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2128E8" w:rsidRDefault="002128E8" w:rsidP="002128E8">
      <w:pPr>
        <w:rPr>
          <w:rFonts w:ascii="Cambria" w:hAnsi="Cambria" w:cs="Cambria"/>
          <w:b/>
          <w:bCs/>
          <w:i/>
          <w:iCs/>
          <w:szCs w:val="26"/>
        </w:rPr>
      </w:pPr>
    </w:p>
    <w:p w:rsidR="00B061D6" w:rsidRPr="002128E8" w:rsidRDefault="002128E8" w:rsidP="002128E8">
      <w:pPr>
        <w:jc w:val="center"/>
        <w:rPr>
          <w:rFonts w:ascii="Cambria" w:hAnsi="Cambria" w:cs="Cambria"/>
          <w:b/>
          <w:bCs/>
          <w:i/>
          <w:iCs/>
          <w:szCs w:val="26"/>
        </w:rPr>
      </w:pPr>
      <w:r w:rsidRPr="008A124C">
        <w:rPr>
          <w:rFonts w:ascii="Cambria" w:hAnsi="Cambria" w:cs="Cambria"/>
          <w:b/>
          <w:bCs/>
          <w:i/>
          <w:iCs/>
          <w:szCs w:val="26"/>
        </w:rPr>
        <w:t>Wszystkie kwestie, które nie zostały wyżej ujęte  zawarte są w Statucie Szkoły.</w:t>
      </w:r>
      <w:r w:rsidRPr="008A124C">
        <w:rPr>
          <w:rFonts w:ascii="Cambria" w:hAnsi="Cambria" w:cs="Cambria"/>
          <w:vanish/>
          <w:sz w:val="22"/>
        </w:rPr>
        <w:t>ewk</w:t>
      </w:r>
      <w:r w:rsidRPr="008A124C">
        <w:rPr>
          <w:rFonts w:ascii="Cambria" w:eastAsia="Cambria" w:hAnsi="Cambria" w:cs="Cambria"/>
          <w:vanish/>
          <w:sz w:val="22"/>
        </w:rPr>
        <w:t xml:space="preserve"> </w:t>
      </w:r>
      <w:r>
        <w:rPr>
          <w:rFonts w:ascii="Cambria" w:hAnsi="Cambria" w:cs="Cambria"/>
          <w:vanish/>
          <w:sz w:val="22"/>
        </w:rPr>
        <w:t>e</w:t>
      </w:r>
    </w:p>
    <w:sectPr w:rsidR="00B061D6" w:rsidRPr="002128E8" w:rsidSect="00B5296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DE6"/>
    <w:multiLevelType w:val="multilevel"/>
    <w:tmpl w:val="85B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A8D487A"/>
    <w:multiLevelType w:val="multilevel"/>
    <w:tmpl w:val="76A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144E2A"/>
    <w:multiLevelType w:val="multilevel"/>
    <w:tmpl w:val="E44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4D398B"/>
    <w:multiLevelType w:val="multilevel"/>
    <w:tmpl w:val="A90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8833CA"/>
    <w:multiLevelType w:val="multilevel"/>
    <w:tmpl w:val="079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950BF6"/>
    <w:multiLevelType w:val="multilevel"/>
    <w:tmpl w:val="3C6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2D171A5"/>
    <w:multiLevelType w:val="multilevel"/>
    <w:tmpl w:val="3D0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AAB5D23"/>
    <w:multiLevelType w:val="multilevel"/>
    <w:tmpl w:val="C6D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233930"/>
    <w:multiLevelType w:val="multilevel"/>
    <w:tmpl w:val="2B4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8E8"/>
    <w:rsid w:val="0019428F"/>
    <w:rsid w:val="002128E8"/>
    <w:rsid w:val="002670A3"/>
    <w:rsid w:val="00686230"/>
    <w:rsid w:val="007403C2"/>
    <w:rsid w:val="00990F23"/>
    <w:rsid w:val="00B061D6"/>
    <w:rsid w:val="00C61C08"/>
    <w:rsid w:val="00D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E8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128E8"/>
    <w:pPr>
      <w:spacing w:after="140" w:line="288" w:lineRule="auto"/>
    </w:pPr>
  </w:style>
  <w:style w:type="paragraph" w:styleId="Akapitzlist">
    <w:name w:val="List Paragraph"/>
    <w:basedOn w:val="Normalny"/>
    <w:qFormat/>
    <w:rsid w:val="002128E8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2128E8"/>
    <w:pPr>
      <w:suppressAutoHyphens/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2716</Words>
  <Characters>16301</Characters>
  <Application>Microsoft Office Word</Application>
  <DocSecurity>0</DocSecurity>
  <Lines>135</Lines>
  <Paragraphs>37</Paragraphs>
  <ScaleCrop>false</ScaleCrop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2022-09-25T12:37:00Z</dcterms:created>
  <dcterms:modified xsi:type="dcterms:W3CDTF">2022-09-25T12:57:00Z</dcterms:modified>
</cp:coreProperties>
</file>