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F7" w:rsidRDefault="00A65F10">
      <w:pPr>
        <w:pStyle w:val="NormalnyWeb"/>
        <w:spacing w:before="280" w:after="0"/>
        <w:jc w:val="center"/>
      </w:pPr>
      <w:r>
        <w:rPr>
          <w:rFonts w:ascii="Cambria" w:hAnsi="Cambria"/>
          <w:b/>
          <w:bCs/>
          <w:sz w:val="27"/>
          <w:szCs w:val="27"/>
        </w:rPr>
        <w:t xml:space="preserve">WYMAGANIA EDUKACYJNE I PRZEDMIOTOWE ZASADY OCENIANIA </w:t>
      </w:r>
    </w:p>
    <w:p w:rsidR="00E356F7" w:rsidRDefault="00A65F10">
      <w:pPr>
        <w:pStyle w:val="NormalnyWeb"/>
        <w:spacing w:before="280" w:after="0"/>
        <w:jc w:val="center"/>
      </w:pPr>
      <w:r>
        <w:rPr>
          <w:rFonts w:ascii="Cambria" w:hAnsi="Cambria"/>
          <w:b/>
          <w:bCs/>
          <w:sz w:val="27"/>
          <w:szCs w:val="27"/>
        </w:rPr>
        <w:t xml:space="preserve">z  chemii w klasie 7 i 8  </w:t>
      </w:r>
      <w:bookmarkStart w:id="0" w:name="_GoBack"/>
      <w:bookmarkEnd w:id="0"/>
      <w:r>
        <w:rPr>
          <w:rFonts w:ascii="Cambria" w:hAnsi="Cambria"/>
          <w:b/>
          <w:bCs/>
          <w:sz w:val="27"/>
          <w:szCs w:val="27"/>
        </w:rPr>
        <w:t>SP</w:t>
      </w:r>
    </w:p>
    <w:p w:rsidR="00E356F7" w:rsidRDefault="00E356F7"/>
    <w:p w:rsidR="00E356F7" w:rsidRDefault="00A65F10">
      <w:pPr>
        <w:pStyle w:val="NormalnyWeb"/>
        <w:spacing w:before="280" w:after="0"/>
      </w:pPr>
      <w:r>
        <w:rPr>
          <w:rFonts w:ascii="Cambria" w:hAnsi="Cambria"/>
          <w:b/>
          <w:bCs/>
        </w:rPr>
        <w:t>Nauczyciel:   Ewa  Piątek  , Helena  Zięba , Klasa: 7 i 8</w:t>
      </w:r>
    </w:p>
    <w:p w:rsidR="00E356F7" w:rsidRDefault="00A65F10">
      <w:pPr>
        <w:pStyle w:val="NormalnyWeb"/>
        <w:spacing w:before="280" w:after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Podręcznik: </w:t>
      </w:r>
      <w:proofErr w:type="spellStart"/>
      <w:r>
        <w:rPr>
          <w:rFonts w:ascii="Cambria" w:hAnsi="Cambria"/>
          <w:b/>
          <w:bCs/>
          <w:sz w:val="22"/>
          <w:szCs w:val="22"/>
        </w:rPr>
        <w:t>J.Kulawik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T.Kulawi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, </w:t>
      </w:r>
      <w:proofErr w:type="spellStart"/>
      <w:r>
        <w:rPr>
          <w:rFonts w:ascii="Cambria" w:hAnsi="Cambria"/>
          <w:b/>
          <w:bCs/>
          <w:sz w:val="22"/>
          <w:szCs w:val="22"/>
        </w:rPr>
        <w:t>M.Litwin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Chemia Nowe Ery</w:t>
      </w:r>
    </w:p>
    <w:p w:rsidR="00E356F7" w:rsidRDefault="00E356F7">
      <w:pPr>
        <w:pStyle w:val="NormalnyWeb"/>
        <w:spacing w:before="280" w:after="0"/>
      </w:pPr>
    </w:p>
    <w:p w:rsidR="00E356F7" w:rsidRDefault="00A65F10">
      <w:pPr>
        <w:spacing w:after="140"/>
        <w:jc w:val="both"/>
        <w:rPr>
          <w:rFonts w:ascii="Calibri" w:hAnsi="Calibri" w:cs="Cambria"/>
          <w:b/>
        </w:rPr>
      </w:pPr>
      <w:r>
        <w:rPr>
          <w:rFonts w:ascii="Cambria" w:hAnsi="Cambria" w:cs="Cambria"/>
          <w:b/>
          <w:sz w:val="24"/>
          <w:szCs w:val="24"/>
        </w:rPr>
        <w:t>Kryteria stopni szkolnych: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dopuszczający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dopuszczający można wystawić uczniowi, który przyswoił treści konieczne. Taki uczeń z pomocą nauczyciela jest w stanie nadrobić braki w podstawowych umiejętnościach.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dostateczny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dostateczny może otrzymać uczeń, który opanował wiadomości podstawowe              i z niewielką pomocą nauczyciela potrafi rozwiązać podstawowe problemy. Analizuje również proste zależności, a także próbuje porównywać, wnioskować i zajmować określone stanowisko.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dobry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dobry można wystawić uczniowi, który przyswoił treści rozszerzające, właściwie stosuje terminologię przedmiotową, a także wiadomości w sytuacjach typowych wg wzorów znanych z lekcji i podręcznika, rozwiązuje typowe problemy z wykorzystaniem poznanych metod, samodzielnie pracuje z podręcznikiem                                 i materiałem źródłowym oraz aktywnie uczestniczy w zajęciach.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bardzo dobry</w:t>
      </w:r>
    </w:p>
    <w:p w:rsidR="00E356F7" w:rsidRDefault="00A65F10">
      <w:pPr>
        <w:spacing w:after="120"/>
        <w:jc w:val="both"/>
        <w:rPr>
          <w:rFonts w:ascii="Calibri" w:eastAsia="CenturySchoolbookPL-Roman;MS Mi" w:hAnsi="Calibri" w:cs="Calibri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bardzo dobry może otrzymać uczeń, który opanował treści dopełniające. Potrafi on samodzielnie interpretować zjawiska oraz bronić swych poglądów.</w:t>
      </w:r>
    </w:p>
    <w:p w:rsidR="00E356F7" w:rsidRDefault="00A65F10">
      <w:pPr>
        <w:spacing w:after="120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mbria" w:hAnsi="Cambria" w:cs="Calibri"/>
          <w:b/>
          <w:bCs/>
          <w:i/>
          <w:iCs/>
          <w:sz w:val="24"/>
          <w:szCs w:val="24"/>
        </w:rPr>
        <w:t>Stopień celujący</w:t>
      </w:r>
    </w:p>
    <w:p w:rsidR="00E356F7" w:rsidRDefault="00A65F10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eastAsia="CenturySchoolbookPL-Roman;MS Mi" w:hAnsi="Cambria" w:cs="Calibri"/>
          <w:sz w:val="24"/>
          <w:szCs w:val="24"/>
        </w:rPr>
        <w:t>Stopień celujący może otrzymać uczeń, który</w:t>
      </w:r>
      <w:r>
        <w:rPr>
          <w:rFonts w:ascii="Cambria" w:hAnsi="Cambria" w:cs="Calibri"/>
          <w:sz w:val="24"/>
          <w:szCs w:val="24"/>
        </w:rPr>
        <w:t xml:space="preserve"> w wysokim stopniu opanował wiedzę                    i umiejętności z danego przedmiotu określone programem nauczania</w:t>
      </w:r>
      <w:r>
        <w:rPr>
          <w:rFonts w:ascii="Cambria" w:eastAsia="CenturySchoolbookPL-Roman;MS Mi" w:hAnsi="Cambria" w:cs="Calibri"/>
          <w:sz w:val="24"/>
          <w:szCs w:val="24"/>
        </w:rPr>
        <w:t>. Potrafi on selekcjonować i hierarchizować wiadomości, z powodzeniem bierze udział w konkursach i olimpiadach przedmiotowych, a także pod okiem nauczyciela prowadzi własne prace badawcze.</w:t>
      </w:r>
    </w:p>
    <w:p w:rsidR="00E356F7" w:rsidRDefault="00E356F7">
      <w:pPr>
        <w:pBdr>
          <w:bottom w:val="single" w:sz="8" w:space="2" w:color="000001"/>
        </w:pBdr>
        <w:spacing w:before="280" w:after="142"/>
        <w:ind w:left="426" w:hanging="426"/>
        <w:jc w:val="center"/>
        <w:rPr>
          <w:rFonts w:ascii="Cambria" w:hAnsi="Cambria"/>
          <w:b/>
          <w:bCs/>
          <w:i/>
          <w:iCs/>
          <w:sz w:val="26"/>
          <w:szCs w:val="26"/>
        </w:rPr>
      </w:pPr>
    </w:p>
    <w:p w:rsidR="00E356F7" w:rsidRDefault="00E356F7">
      <w:pPr>
        <w:pStyle w:val="NormalnyWeb"/>
        <w:spacing w:before="280" w:after="0"/>
        <w:jc w:val="center"/>
        <w:rPr>
          <w:rFonts w:ascii="Cambria" w:hAnsi="Cambria"/>
          <w:b/>
          <w:bCs/>
          <w:i/>
          <w:iCs/>
          <w:sz w:val="26"/>
          <w:szCs w:val="26"/>
        </w:rPr>
      </w:pP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i/>
          <w:iCs/>
          <w:sz w:val="26"/>
          <w:szCs w:val="26"/>
        </w:rPr>
        <w:lastRenderedPageBreak/>
        <w:t>Formy bieżącego sprawdzania postępów ucznia</w:t>
      </w:r>
    </w:p>
    <w:p w:rsidR="00E356F7" w:rsidRDefault="00E356F7">
      <w:pPr>
        <w:pStyle w:val="NormalnyWeb"/>
        <w:spacing w:before="280" w:after="0"/>
        <w:jc w:val="center"/>
        <w:rPr>
          <w:b/>
          <w:bCs/>
          <w:i/>
          <w:iCs/>
        </w:rPr>
      </w:pPr>
    </w:p>
    <w:tbl>
      <w:tblPr>
        <w:tblW w:w="934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81" w:type="dxa"/>
          <w:bottom w:w="105" w:type="dxa"/>
          <w:right w:w="105" w:type="dxa"/>
        </w:tblCellMar>
        <w:tblLook w:val="04A0"/>
      </w:tblPr>
      <w:tblGrid>
        <w:gridCol w:w="1416"/>
        <w:gridCol w:w="1708"/>
        <w:gridCol w:w="1811"/>
        <w:gridCol w:w="1754"/>
        <w:gridCol w:w="2656"/>
      </w:tblGrid>
      <w:tr w:rsidR="00E356F7">
        <w:tc>
          <w:tcPr>
            <w:tcW w:w="312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Zakres treści</w:t>
            </w:r>
          </w:p>
        </w:tc>
        <w:tc>
          <w:tcPr>
            <w:tcW w:w="17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2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Zasady</w:t>
            </w:r>
          </w:p>
        </w:tc>
      </w:tr>
      <w:tr w:rsidR="00E356F7">
        <w:trPr>
          <w:trHeight w:val="915"/>
        </w:trPr>
        <w:tc>
          <w:tcPr>
            <w:tcW w:w="1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  <w:vAlign w:val="center"/>
          </w:tcPr>
          <w:p w:rsidR="00E356F7" w:rsidRDefault="00E356F7">
            <w:pPr>
              <w:spacing w:beforeAutospacing="1" w:after="0" w:line="240" w:lineRule="auto"/>
              <w:ind w:right="11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306B41" w:rsidRDefault="00306B41">
            <w:pPr>
              <w:spacing w:beforeAutospacing="1" w:after="0" w:line="240" w:lineRule="auto"/>
              <w:ind w:right="113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E356F7" w:rsidRDefault="00A65F10">
            <w:pPr>
              <w:spacing w:beforeAutospacing="1" w:after="119" w:line="240" w:lineRule="auto"/>
              <w:ind w:right="11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Prace pisemne</w:t>
            </w:r>
          </w:p>
        </w:tc>
        <w:tc>
          <w:tcPr>
            <w:tcW w:w="17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sprawdziany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pisemne</w:t>
            </w:r>
          </w:p>
          <w:p w:rsidR="00E356F7" w:rsidRDefault="00A65F10">
            <w:pPr>
              <w:spacing w:beforeAutospacing="1"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(trwające 30 min lub dłużej)</w:t>
            </w:r>
          </w:p>
        </w:tc>
        <w:tc>
          <w:tcPr>
            <w:tcW w:w="18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jeden dział lub połowa obszernego działu </w:t>
            </w:r>
          </w:p>
        </w:tc>
        <w:tc>
          <w:tcPr>
            <w:tcW w:w="17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minimum 1 w półroczu</w:t>
            </w:r>
          </w:p>
          <w:p w:rsidR="00E356F7" w:rsidRDefault="00E356F7">
            <w:pPr>
              <w:spacing w:beforeAutospacing="1"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zapowiadane przynajmniej z tygodniowym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wyprzedzeniem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adnotacja w e – dzienniku 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w miarę możliwości poprzedzone lekcją powtórzeniową, na której nauczyciel informuje uczniów o narzędziach sprawdzających</w:t>
            </w:r>
          </w:p>
          <w:p w:rsidR="00E356F7" w:rsidRDefault="00A65F10">
            <w:pPr>
              <w:spacing w:beforeAutospacing="1" w:after="119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termin oddania ocenionych prac – 2 tygodnie</w:t>
            </w:r>
          </w:p>
        </w:tc>
      </w:tr>
    </w:tbl>
    <w:p w:rsidR="00E356F7" w:rsidRDefault="00E356F7">
      <w:pPr>
        <w:pStyle w:val="NormalnyWeb"/>
        <w:spacing w:before="280" w:after="0"/>
        <w:rPr>
          <w:rFonts w:ascii="Cambria" w:hAnsi="Cambria"/>
        </w:rPr>
      </w:pPr>
    </w:p>
    <w:tbl>
      <w:tblPr>
        <w:tblW w:w="9345" w:type="dxa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81" w:type="dxa"/>
          <w:bottom w:w="105" w:type="dxa"/>
          <w:right w:w="105" w:type="dxa"/>
        </w:tblCellMar>
        <w:tblLook w:val="04A0"/>
      </w:tblPr>
      <w:tblGrid>
        <w:gridCol w:w="810"/>
        <w:gridCol w:w="1869"/>
        <w:gridCol w:w="1985"/>
        <w:gridCol w:w="1770"/>
        <w:gridCol w:w="2911"/>
      </w:tblGrid>
      <w:tr w:rsidR="00E356F7">
        <w:trPr>
          <w:trHeight w:val="765"/>
        </w:trPr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kartkówki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(trwające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do 20 min)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zagadnienia z ostatniego tematu lekcji lub z trzech ostatnich tematów 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minimum jedna w półroczu</w:t>
            </w:r>
          </w:p>
        </w:tc>
        <w:tc>
          <w:tcPr>
            <w:tcW w:w="29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zapowiedziane z wyprzedzeniem – ustnie lub przez e-dziennik; na lekcji poprzedzającej kartkówkę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termin oddania ocenionych prac – 1 tydzień</w:t>
            </w:r>
          </w:p>
        </w:tc>
      </w:tr>
      <w:tr w:rsidR="00E356F7"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Prace domowe pisemne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materiał nauczania z bieżącej lekcji lub przygotowanie materiału dotyczącego nowego tematu</w:t>
            </w:r>
          </w:p>
        </w:tc>
        <w:tc>
          <w:tcPr>
            <w:tcW w:w="177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miarę potrzeb</w:t>
            </w:r>
          </w:p>
        </w:tc>
        <w:tc>
          <w:tcPr>
            <w:tcW w:w="2911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ocenie może podlegać wybiórczo kilka prac</w:t>
            </w:r>
          </w:p>
        </w:tc>
      </w:tr>
      <w:tr w:rsidR="00E356F7">
        <w:tc>
          <w:tcPr>
            <w:tcW w:w="8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beforeAutospacing="1" w:after="119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Prace domowe w innej formie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prace badawcze, np.: prowadzenie doświadczeń, wykonywanie modeli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prace dodatkowe, np.: wykonywanie plakatów, planszy, pomocy dydaktycznych</w:t>
            </w:r>
          </w:p>
        </w:tc>
        <w:tc>
          <w:tcPr>
            <w:tcW w:w="177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1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E356F7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E356F7">
        <w:tc>
          <w:tcPr>
            <w:tcW w:w="26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Odpowiedzi ustne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dana partia materiału - maksymalnie 3 ostatnie lekcje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jeden raz w półroczu</w:t>
            </w:r>
          </w:p>
        </w:tc>
        <w:tc>
          <w:tcPr>
            <w:tcW w:w="29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bez zapowiedzi</w:t>
            </w:r>
          </w:p>
        </w:tc>
      </w:tr>
      <w:tr w:rsidR="00E356F7">
        <w:trPr>
          <w:trHeight w:val="930"/>
        </w:trPr>
        <w:tc>
          <w:tcPr>
            <w:tcW w:w="267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Praca na lekcji</w:t>
            </w:r>
          </w:p>
          <w:p w:rsidR="00E356F7" w:rsidRDefault="00A65F1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(indywidualna</w:t>
            </w:r>
          </w:p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lub zespołowa)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• bieżący materiał nauczania </w:t>
            </w:r>
          </w:p>
        </w:tc>
        <w:tc>
          <w:tcPr>
            <w:tcW w:w="17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 miarę potrzeb</w:t>
            </w:r>
          </w:p>
        </w:tc>
        <w:tc>
          <w:tcPr>
            <w:tcW w:w="29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81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• ocenie podlegają: aktywność, zaangażowanie, umiejętność pracy samodzielnej oraz praca w grupie</w:t>
            </w:r>
          </w:p>
        </w:tc>
      </w:tr>
    </w:tbl>
    <w:p w:rsidR="00E356F7" w:rsidRDefault="00E356F7">
      <w:pPr>
        <w:spacing w:line="240" w:lineRule="auto"/>
        <w:rPr>
          <w:rFonts w:ascii="Cambria" w:hAnsi="Cambria"/>
          <w:sz w:val="24"/>
          <w:szCs w:val="24"/>
        </w:rPr>
      </w:pPr>
    </w:p>
    <w:p w:rsidR="00E356F7" w:rsidRDefault="00A65F10">
      <w:pPr>
        <w:pStyle w:val="NormalnyWeb"/>
        <w:spacing w:before="280" w:after="0"/>
        <w:rPr>
          <w:rFonts w:ascii="Cambria" w:hAnsi="Cambria"/>
        </w:rPr>
      </w:pPr>
      <w:r>
        <w:rPr>
          <w:rFonts w:ascii="Cambria" w:hAnsi="Cambria"/>
          <w:b/>
          <w:bCs/>
        </w:rPr>
        <w:t>1. Sprawdziany pisemne</w:t>
      </w:r>
    </w:p>
    <w:p w:rsidR="00E356F7" w:rsidRDefault="00A65F10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Sprawdziany pisemne są obowiązkowe.</w:t>
      </w:r>
    </w:p>
    <w:p w:rsidR="00E356F7" w:rsidRDefault="00A65F10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Uczeń, który nie zgłosił się na sprawdzian z przyczyn usprawiedliwionych, musi przystąpić do niego w ciągu dwóch tygodni od daty powrotu do szkoły w terminie uzgodnionym z nauczycielem</w:t>
      </w:r>
    </w:p>
    <w:p w:rsidR="00E356F7" w:rsidRDefault="00A65F10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 nieobecności nieusprawiedliwionej lub gdy uczeń unika wyznaczenia     terminu, nauczyciel ma prawo zobowiązać go do napisania sprawdzianu w terminie przez siebie wyznaczonym, bez wcześniejszego poinformowania ucznia. </w:t>
      </w:r>
    </w:p>
    <w:p w:rsidR="005061A0" w:rsidRDefault="00B84290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Uczeń  ma prawo  do poprawy  oceny  niedostatecznej z pracy kontrolnej   </w:t>
      </w:r>
    </w:p>
    <w:p w:rsidR="005061A0" w:rsidRDefault="00B84290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jednogodzinnej w ciągu  dwóch tygodni od  dnia  otrzymania  oficjalnej informacji  o </w:t>
      </w:r>
    </w:p>
    <w:p w:rsidR="00B84290" w:rsidRDefault="00B84290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uzyskanej  ocenie.</w:t>
      </w:r>
    </w:p>
    <w:p w:rsidR="00306B41" w:rsidRDefault="00306B41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06B41" w:rsidRDefault="00306B41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84290" w:rsidRDefault="00B84290" w:rsidP="00B8429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Sposób oceniania  sprawdzianów:</w:t>
      </w:r>
    </w:p>
    <w:p w:rsidR="00E356F7" w:rsidRPr="005061A0" w:rsidRDefault="00B84290" w:rsidP="005061A0">
      <w:pPr>
        <w:spacing w:beforeAutospacing="1" w:after="0" w:line="24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Oceny prac pisemnych  dokonuje  się  zgodnie  z podaną  niżej  skalą  procentową</w:t>
      </w:r>
      <w:r w:rsidR="00543741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5061A0" w:rsidRDefault="005061A0">
      <w:pPr>
        <w:pStyle w:val="NormalnyWeb"/>
        <w:spacing w:before="280" w:after="0"/>
        <w:rPr>
          <w:rFonts w:ascii="Cambria" w:hAnsi="Cambria" w:cs="Cambria"/>
          <w:b/>
          <w:bCs/>
          <w:color w:val="000099"/>
        </w:rPr>
      </w:pPr>
    </w:p>
    <w:p w:rsidR="00E356F7" w:rsidRDefault="00A65F10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100% - 98% celujący</w:t>
      </w:r>
    </w:p>
    <w:p w:rsidR="00E356F7" w:rsidRDefault="00543741">
      <w:pPr>
        <w:spacing w:line="240" w:lineRule="auto"/>
        <w:jc w:val="center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97% - 90  %  </w:t>
      </w:r>
      <w:r w:rsidR="00A65F10">
        <w:rPr>
          <w:rFonts w:ascii="Cambria" w:hAnsi="Cambria" w:cs="Cambria"/>
          <w:color w:val="000000"/>
          <w:sz w:val="24"/>
          <w:szCs w:val="24"/>
        </w:rPr>
        <w:t xml:space="preserve">bardzo dobry </w:t>
      </w:r>
    </w:p>
    <w:p w:rsidR="00E356F7" w:rsidRDefault="00A65F10" w:rsidP="00543741">
      <w:pPr>
        <w:spacing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543741"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 89% -75%   </w:t>
      </w:r>
      <w:r w:rsidR="005061A0">
        <w:rPr>
          <w:rFonts w:ascii="Cambria" w:hAnsi="Cambria" w:cs="Cambria"/>
          <w:color w:val="000000"/>
          <w:sz w:val="24"/>
          <w:szCs w:val="24"/>
        </w:rPr>
        <w:t>dobry</w:t>
      </w:r>
    </w:p>
    <w:p w:rsidR="00E356F7" w:rsidRDefault="005061A0" w:rsidP="005061A0">
      <w:pPr>
        <w:spacing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  74% - 50%  dostateczny </w:t>
      </w:r>
    </w:p>
    <w:p w:rsidR="005061A0" w:rsidRDefault="005061A0" w:rsidP="005061A0">
      <w:pPr>
        <w:spacing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                                                                      49% - 35%  dopuszczający</w:t>
      </w:r>
    </w:p>
    <w:p w:rsidR="00543741" w:rsidRDefault="00543741" w:rsidP="00543741">
      <w:pPr>
        <w:spacing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34 % - 0 niedostateczny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Możliwe   jest  otrzymanie  oceny poprzedzonej  znakami +  lub – dla  skrajnych  wartości  przedziałów  określających daną ocenę :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97%  + bardzo dobry 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90%  - bardzo dobry 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89% + dobry 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75%  - dobry 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74%  + dostateczny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50%  - dostateczny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49% + dopuszczający </w:t>
      </w:r>
    </w:p>
    <w:p w:rsid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35% - dopuszczający </w:t>
      </w:r>
    </w:p>
    <w:p w:rsidR="00543741" w:rsidRPr="00543741" w:rsidRDefault="00543741" w:rsidP="00543741">
      <w:pPr>
        <w:spacing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                                                           34%  +  niedostateczny</w:t>
      </w:r>
    </w:p>
    <w:p w:rsidR="00E356F7" w:rsidRDefault="00E356F7">
      <w:pPr>
        <w:spacing w:line="240" w:lineRule="auto"/>
        <w:rPr>
          <w:rFonts w:cs="Cambria"/>
          <w:color w:val="000000"/>
        </w:rPr>
      </w:pPr>
    </w:p>
    <w:p w:rsidR="00E356F7" w:rsidRDefault="00A65F10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2. Kartkówki</w:t>
      </w:r>
    </w:p>
    <w:p w:rsidR="005061A0" w:rsidRDefault="00A65F10">
      <w:pPr>
        <w:spacing w:beforeAutospacing="1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Nieobecność ucznia na kartkówce nie zobowiązuje go do zaliczania danej partii </w:t>
      </w:r>
    </w:p>
    <w:p w:rsidR="00E356F7" w:rsidRDefault="00A65F10">
      <w:pPr>
        <w:spacing w:beforeAutospacing="1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materiału. Kartkówki nie podlegają poprawie</w:t>
      </w:r>
    </w:p>
    <w:p w:rsidR="00E356F7" w:rsidRDefault="00A65F10">
      <w:pPr>
        <w:spacing w:beforeAutospacing="1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3. Odpowiedzi ustne</w:t>
      </w:r>
    </w:p>
    <w:p w:rsidR="005061A0" w:rsidRDefault="005061A0">
      <w:pPr>
        <w:spacing w:beforeAutospacing="1"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543741" w:rsidRDefault="00543741">
      <w:pPr>
        <w:spacing w:beforeAutospacing="1" w:after="0" w:line="240" w:lineRule="auto"/>
        <w:rPr>
          <w:rFonts w:ascii="Cambria" w:hAnsi="Cambria"/>
          <w:sz w:val="24"/>
          <w:szCs w:val="24"/>
        </w:rPr>
      </w:pPr>
    </w:p>
    <w:tbl>
      <w:tblPr>
        <w:tblW w:w="9390" w:type="dxa"/>
        <w:tblInd w:w="-22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  <w:insideH w:val="outset" w:sz="6" w:space="0" w:color="008000"/>
          <w:insideV w:val="outset" w:sz="6" w:space="0" w:color="008000"/>
        </w:tblBorders>
        <w:tblCellMar>
          <w:top w:w="60" w:type="dxa"/>
          <w:left w:w="36" w:type="dxa"/>
          <w:bottom w:w="60" w:type="dxa"/>
          <w:right w:w="60" w:type="dxa"/>
        </w:tblCellMar>
        <w:tblLook w:val="04A0"/>
      </w:tblPr>
      <w:tblGrid>
        <w:gridCol w:w="2394"/>
        <w:gridCol w:w="6996"/>
      </w:tblGrid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lastRenderedPageBreak/>
              <w:t>Oceny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bezbłędna, samodzielna, wyczerpująca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bezbłędna, samodzielna, niepełna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nie w pełni samodzielna, pojawiają się błędy merytoryczne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dopuszczający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niesamodzielna, pomijająca istotne treści merytoryczne</w:t>
            </w:r>
          </w:p>
        </w:tc>
      </w:tr>
      <w:tr w:rsidR="00E356F7">
        <w:tc>
          <w:tcPr>
            <w:tcW w:w="2394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699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tcMar>
              <w:left w:w="36" w:type="dxa"/>
            </w:tcMar>
          </w:tcPr>
          <w:p w:rsidR="00E356F7" w:rsidRDefault="00A65F10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odpowiedź niesamodzielna, poważne błędy merytoryczne lub brak odpowiedzi</w:t>
            </w:r>
          </w:p>
        </w:tc>
      </w:tr>
    </w:tbl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</w:rPr>
        <w:t>Przy wystawieniu oceny za odpowiedź ustną nauczyciel powinien przekazać uczniowi informację zwrotną.</w:t>
      </w:r>
    </w:p>
    <w:p w:rsidR="00E356F7" w:rsidRDefault="00A65F10">
      <w:pPr>
        <w:pStyle w:val="NormalnyWeb"/>
        <w:spacing w:before="280" w:after="0"/>
        <w:jc w:val="both"/>
        <w:rPr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t xml:space="preserve">4. Nieprzygotowanie do zajęć </w:t>
      </w:r>
    </w:p>
    <w:p w:rsidR="00E356F7" w:rsidRDefault="00A65F10">
      <w:pPr>
        <w:pStyle w:val="NormalnyWeb"/>
        <w:spacing w:before="280" w:after="0"/>
        <w:jc w:val="both"/>
        <w:rPr>
          <w:color w:val="000000" w:themeColor="text1"/>
        </w:rPr>
      </w:pPr>
      <w:r>
        <w:rPr>
          <w:rFonts w:ascii="Cambria" w:hAnsi="Cambria"/>
          <w:color w:val="000000" w:themeColor="text1"/>
        </w:rPr>
        <w:t>Uczeń ma prawo być nieprzygotowany do odpowiedzi ustnej bez usprawiedliwienia 2 razy w semestrze. W przypadkach losowych, na prośbę rodzica, może być nieprzygotowany po raz drugi. O powyższym fakcie uczeń jest zobowiązany poinformować nauczyciela na początku lekcji. Swoje nieprzygotowanie uczeń zgłasza przed każdą lekcją. Nieprzygotowanie, o którym mowa wyżej, obejmuje również zadania domowe oraz braki zeszytów z pracami domowymi. Nieprzygotowanie nie zwalnia ucznia z aktywności na lekcji.</w:t>
      </w:r>
    </w:p>
    <w:p w:rsidR="00E356F7" w:rsidRDefault="00A65F10">
      <w:pPr>
        <w:pStyle w:val="NormalnyWeb"/>
        <w:spacing w:before="280" w:after="0"/>
        <w:jc w:val="both"/>
        <w:rPr>
          <w:color w:val="000000" w:themeColor="text1"/>
        </w:rPr>
      </w:pPr>
      <w:r>
        <w:rPr>
          <w:rFonts w:ascii="Cambria" w:hAnsi="Cambria"/>
          <w:color w:val="000000" w:themeColor="text1"/>
        </w:rPr>
        <w:t>Brak podręcznika (1 na dwoje uczniów) lub innych koniecznych materiałów uniemożliwiających pracę na lekcji jest równoznaczne z nieprzygotowaniem ucznia do zajęć.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>5. Prace domowe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</w:rPr>
        <w:t>Uczeń ma prawo nie wykonać w półroczu jednej pracy, ale musi ją uzupełnić na następną lekcję. Częste braki zadań domowych i zeszytu przedmiotowego (ponad zasadę ustaloną) mogą być odnotowane w dzienniku lekcyjnym znakiem /- / i mogą mieć wpływ na ocenę z zajęć edukacyjnych.</w:t>
      </w:r>
    </w:p>
    <w:p w:rsidR="00E356F7" w:rsidRDefault="00E356F7">
      <w:pPr>
        <w:pStyle w:val="NormalnyWeb"/>
        <w:spacing w:before="280" w:after="0"/>
        <w:jc w:val="both"/>
        <w:rPr>
          <w:rFonts w:ascii="Cambria" w:hAnsi="Cambria"/>
        </w:rPr>
      </w:pP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  <w:b/>
          <w:bCs/>
          <w:i/>
          <w:iCs/>
          <w:sz w:val="26"/>
          <w:szCs w:val="26"/>
        </w:rPr>
        <w:t>Sprawdzenie i ocenianie sumujące postępy ucznia</w:t>
      </w:r>
    </w:p>
    <w:p w:rsidR="00E356F7" w:rsidRDefault="00A65F10">
      <w:pPr>
        <w:spacing w:before="280"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Uczeń otrzymuje za swoje osiągnięcia w danym roku szkolnym oceny:</w:t>
      </w:r>
      <w:bookmarkStart w:id="1" w:name="_GoBack2"/>
      <w:bookmarkEnd w:id="1"/>
      <w:r>
        <w:rPr>
          <w:rFonts w:ascii="Cambria" w:hAnsi="Cambria" w:cs="Cambria"/>
          <w:color w:val="000000"/>
          <w:sz w:val="24"/>
          <w:szCs w:val="24"/>
        </w:rPr>
        <w:t xml:space="preserve"> śródroczną                       i roczną. Wystawia je nauczyciel na podstawie ocen cząstkowych ze wszystkich form aktywności ucznia (w tym również aktywność na lekcjach, umiejętność samodzielnego, logicznego myślenia, systematyczne przygotowanie do zajęć, zajęcia praktyczne, z tym że oceny za sprawdzianów mają znaczący wpływ na ocenę śródroczną i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końcoworoczną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>) jednak nie jest to średnia arytmetyczna.</w:t>
      </w:r>
    </w:p>
    <w:p w:rsidR="00E356F7" w:rsidRDefault="00E356F7">
      <w:pPr>
        <w:pStyle w:val="NormalnyWeb"/>
        <w:spacing w:before="280" w:after="0"/>
        <w:jc w:val="both"/>
        <w:rPr>
          <w:b/>
          <w:bCs/>
        </w:rPr>
      </w:pP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PODSTAWA PROGRAMOWA KSZTAŁCENIA OGÓLNEGO -</w:t>
      </w:r>
    </w:p>
    <w:p w:rsidR="00E356F7" w:rsidRDefault="00A65F10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>Chemia kl.7i 8</w:t>
      </w: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>Ogólne cele kształcenia chemicznego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Cele kształcenia – wymagania ogólne</w:t>
      </w:r>
      <w:r>
        <w:rPr>
          <w:rFonts w:ascii="Cambria" w:hAnsi="Cambria"/>
        </w:rPr>
        <w:t xml:space="preserve"> 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I. Pozyskiwanie, przetwarzanie i tworzenie</w:t>
      </w:r>
      <w:r>
        <w:rPr>
          <w:rFonts w:ascii="Cambria" w:hAnsi="Cambria"/>
        </w:rPr>
        <w:t xml:space="preserve"> informacji. Uczeń: 1) pozyskuje i przetwarza informacje z różnorodnych źródeł z wykorzystaniem technologii informacyjno-komunikacyjnych; 2) ocenia wiarygodność uzyskanych danych; 3) konstruuje wykresy, tabele i schematy na podstawie dostępnych informacji</w:t>
      </w:r>
      <w:r>
        <w:rPr>
          <w:rFonts w:ascii="Cambria" w:hAnsi="Cambria"/>
          <w:b/>
        </w:rPr>
        <w:t>.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II. Rozumowanie i zastosowanie nabytej wiedzy do rozwiązywania problemów.</w:t>
      </w:r>
      <w:r>
        <w:rPr>
          <w:rFonts w:ascii="Cambria" w:hAnsi="Cambria"/>
        </w:rPr>
        <w:t xml:space="preserve"> Uczeń: 1) opisuje właściwości substancji i wyjaśnia przebieg prostych procesów chemicznych; 2) wskazuje na związek właściwości różnorodnych substancji z ich zastosowaniami i ich wpływem na środowisko naturalne; 3) respektuje podstawowe zasady ochrony środowiska; 4) wskazuje na związek między właściwościami substancji a ich budową chemiczną; 5) wykorzystuje wiedzę do rozwiązywania prostych problemów chemicznych; 6) stosuje poprawną terminologię; 7) wykonuje obliczenia dotyczące praw chemicznych</w:t>
      </w:r>
      <w:r>
        <w:rPr>
          <w:rFonts w:ascii="Cambria" w:hAnsi="Cambria"/>
          <w:b/>
        </w:rPr>
        <w:t>.</w:t>
      </w:r>
    </w:p>
    <w:p w:rsidR="00E356F7" w:rsidRDefault="00A65F10">
      <w:pPr>
        <w:pStyle w:val="NormalnyWeb"/>
        <w:spacing w:before="28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III. Opanowanie czynności praktycznych</w:t>
      </w:r>
      <w:r>
        <w:rPr>
          <w:rFonts w:ascii="Cambria" w:hAnsi="Cambria"/>
        </w:rPr>
        <w:t>. Uczeń: 1) bezpiecznie posługuje się prostym sprzętem laboratoryjnym i podstawowymi odczynnikami chemicznymi; 2) projektuje i przeprowadza proste doświadczenia chemiczne; 3) rejestruje ich wyniki w różnej formie, formułuje obserwacje, wnioski oraz wyjaśnienia; 4) przestrzega zasad bezpieczeństwa i higieny pracy.</w:t>
      </w:r>
    </w:p>
    <w:p w:rsidR="00E356F7" w:rsidRDefault="00A65F10">
      <w:pPr>
        <w:pStyle w:val="NormalnyWeb"/>
        <w:spacing w:before="280" w:after="0"/>
        <w:jc w:val="center"/>
        <w:rPr>
          <w:rFonts w:ascii="Cambria" w:hAnsi="Cambria"/>
        </w:rPr>
      </w:pPr>
      <w:r>
        <w:rPr>
          <w:rFonts w:ascii="Cambria" w:hAnsi="Cambria" w:cs="Times New Roman,Bold"/>
          <w:b/>
          <w:bCs/>
        </w:rPr>
        <w:t xml:space="preserve">Treści nauczania – </w:t>
      </w:r>
      <w:r>
        <w:rPr>
          <w:rFonts w:ascii="Cambria" w:hAnsi="Cambria"/>
          <w:b/>
          <w:bCs/>
        </w:rPr>
        <w:t>wymagania szczegółowe</w:t>
      </w:r>
    </w:p>
    <w:p w:rsidR="00E356F7" w:rsidRDefault="00E356F7">
      <w:pPr>
        <w:pStyle w:val="NormalnyWeb"/>
        <w:spacing w:before="280" w:after="0"/>
        <w:jc w:val="center"/>
        <w:rPr>
          <w:b/>
          <w:bCs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I. Substancje i ich właściwości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opisuje właściwości substancji będących głównymi składnikami stosowanych na co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dzień produktów, np. soli kuchennej, cukru, mąki, wody, węgla, glinu, miedzi, cynku, żelaza; projektuje i przeprowadza doświadczenia, w których bada wybrane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właściwości substancji;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rozpoznaje znaki ostrzegawcze (piktogramy) stosowane przy oznakowaniu substancji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niebezpiecznych; wymienia podstawowe zasady bezpiecznej pracy z odczynnikami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chemicznymi;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opisuje stany skupienia materii;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tłumaczy, na czym polegają zjawiska dyfuzji, rozpuszczania, zmiany stanu skupienia;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opisuje cechy mieszanin jednorodnych i niejednorodnych;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sporządza mieszaniny i dobiera metodę rozdzielania składników mieszanin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(np. sączenie, destylacja, rozdzielanie cieczy w rozdzielaczu); wskazuje te różnice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między właściwościami fizycznymi składników mieszaniny, które umożliwiają jej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rozdzielenie;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opisuje różnice między mieszaniną a związkiem chemicznym lub pierwiastkiem;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8) klasyfikuje pierwiastki na metale i niemetale; odróżnia metale od niemetali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 podstawie ich właściwości;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9) posługuje się symbolami pierwiastków i stosuje je do zapisywania wzorów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chemicznych: H, C, N, O, Na, Mg, Al, Si, P, S, Cl, K, Ca, Fe, Cu, Zn, </w:t>
      </w:r>
      <w:proofErr w:type="spellStart"/>
      <w:r>
        <w:rPr>
          <w:rFonts w:ascii="Cambria" w:hAnsi="Cambria" w:cs="Times New Roman"/>
          <w:sz w:val="24"/>
          <w:szCs w:val="24"/>
        </w:rPr>
        <w:t>Br</w:t>
      </w:r>
      <w:proofErr w:type="spellEnd"/>
      <w:r>
        <w:rPr>
          <w:rFonts w:ascii="Cambria" w:hAnsi="Cambria" w:cs="Times New Roman"/>
          <w:sz w:val="24"/>
          <w:szCs w:val="24"/>
        </w:rPr>
        <w:t>, Ag, Sn, I,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Ba, Au, </w:t>
      </w:r>
      <w:proofErr w:type="spellStart"/>
      <w:r>
        <w:rPr>
          <w:rFonts w:ascii="Cambria" w:hAnsi="Cambria" w:cs="Times New Roman"/>
          <w:sz w:val="24"/>
          <w:szCs w:val="24"/>
        </w:rPr>
        <w:t>Hg</w:t>
      </w:r>
      <w:proofErr w:type="spellEnd"/>
      <w:r>
        <w:rPr>
          <w:rFonts w:ascii="Cambria" w:hAnsi="Cambria" w:cs="Times New Roman"/>
          <w:sz w:val="24"/>
          <w:szCs w:val="24"/>
        </w:rPr>
        <w:t>, Pb;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10) przeprowadza obliczenia z wykorzystaniem pojęć: masa, gęstość i objętość.</w:t>
      </w:r>
    </w:p>
    <w:p w:rsidR="00E356F7" w:rsidRDefault="00E356F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II. Wewnętrzna budowa materii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posługuje się pojęciem pierwiastka chemicznego jako zbioru atomów o danej liczbie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atomowej </w:t>
      </w:r>
      <w:r>
        <w:rPr>
          <w:rFonts w:ascii="Cambria" w:hAnsi="Cambria" w:cs="Times New Roman"/>
          <w:i/>
          <w:iCs/>
          <w:sz w:val="24"/>
          <w:szCs w:val="24"/>
        </w:rPr>
        <w:t>Z</w:t>
      </w:r>
      <w:r>
        <w:rPr>
          <w:rFonts w:ascii="Cambria" w:hAnsi="Cambria" w:cs="Times New Roman"/>
          <w:sz w:val="24"/>
          <w:szCs w:val="24"/>
        </w:rPr>
        <w:t>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opisuje skład atomu (jądro: protony i neutrony, elektrony); na podstawie położenia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pierwiastka w układzie okresowym określa liczbę powłok elektronowych w atomie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oraz liczbę elektronów zewnętrznej powłoki elektronowej dla pierwiastków grup 1.–2.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13.–18.; określa położenie pierwiastka w układzie okresowym (numer grupy, numer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okresu);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ustala liczbę protonów, elektronów i neutronów w atomie na podstawie liczby</w:t>
      </w:r>
    </w:p>
    <w:p w:rsidR="00E356F7" w:rsidRDefault="00A65F10">
      <w:pPr>
        <w:spacing w:after="0" w:line="240" w:lineRule="auto"/>
        <w:jc w:val="both"/>
        <w:rPr>
          <w:rFonts w:ascii="Cambria Math" w:hAnsi="Cambria Math" w:cs="Cambria Math"/>
          <w:sz w:val="17"/>
          <w:szCs w:val="17"/>
        </w:rPr>
      </w:pPr>
      <w:r>
        <w:rPr>
          <w:rFonts w:ascii="Cambria" w:hAnsi="Cambria" w:cs="Times New Roman"/>
          <w:sz w:val="24"/>
          <w:szCs w:val="24"/>
        </w:rPr>
        <w:t>atomowej i masowej</w:t>
      </w:r>
    </w:p>
    <w:p w:rsidR="00E356F7" w:rsidRDefault="00E356F7">
      <w:pPr>
        <w:spacing w:after="0" w:line="240" w:lineRule="auto"/>
        <w:jc w:val="both"/>
        <w:rPr>
          <w:rFonts w:cs="Times New Roman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definiuje pojęcie izotopu; opisuje różnice w budowie atomów izotopów, np. wodoru;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wyszukuje informacje na temat zastosowań różnych izotopów;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stosuje pojęcie masy atomowej (średnia masa atomów danego pierwiastka,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 uwzględnieniem jego składu izotopowego);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odczytuje z układu okresowego podstawowe informacje o pierwiastkach (symbol,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nazwę, liczbę atomową, masę atomową, rodzaj pierwiastka – metal lub niemetal);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wyjaśnia związek między podobieństwem właściwości pierwiastków należących do tej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samej grupy układu okresowego oraz stopniową zmianą właściwości pierwiastków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leżących w tym samym okresie (metale – niemetale) a budową atomów;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 opisuje, czym różni się atom od cząsteczki; interpretuje zapisy, np. H2, 2H, 2H2;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9) opisuje funkcję elektronów zewnętrznej powłoki w łączeniu się atomów; stosuje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pojęcie elektroujemności do określania rodzaju wiązań (kowalencyjne, jonowe)                        w podanych substancjach; 10) na przykładzie cząsteczek H2, Cl2, N2, CO2, H2O,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NH3, CH4 opisuje powstawanie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wiązań chemicznych; zapisuje wzory sumaryczne i strukturalne tych cząsteczek;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11) stosuje pojęcie jonu (kation i anion) i opisuje, jak powstają jony; określa ładunek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jonów metali (np. Na, Mg, Al) oraz niemetali (np. O, Cl, S); opisuje powstawanie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wiązań jonowych (np. </w:t>
      </w:r>
      <w:proofErr w:type="spellStart"/>
      <w:r>
        <w:rPr>
          <w:rFonts w:ascii="Cambria" w:hAnsi="Cambria" w:cs="Times New Roman"/>
          <w:sz w:val="24"/>
          <w:szCs w:val="24"/>
        </w:rPr>
        <w:t>NaCl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sz w:val="24"/>
          <w:szCs w:val="24"/>
        </w:rPr>
        <w:t>MgO</w:t>
      </w:r>
      <w:proofErr w:type="spellEnd"/>
      <w:r>
        <w:rPr>
          <w:rFonts w:ascii="Cambria" w:hAnsi="Cambria" w:cs="Times New Roman"/>
          <w:sz w:val="24"/>
          <w:szCs w:val="24"/>
        </w:rPr>
        <w:t>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12) porównuje właściwości związków kowalencyjnych i jonowych (stan skupienia,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rozpuszczalność w wodzie, temperatura topnienia i temperatura wrzenia,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przewodnictwo ciepła i elektryczności);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13) określa na podstawie układu okresowego wartościowość (względem wodoru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maksymalną względem tlenu) dla pierwiastków grup: 1., 2., 13., 14., 15., 16. i 17.;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14) rysuje wzór strukturalny cząsteczki związku </w:t>
      </w:r>
      <w:proofErr w:type="spellStart"/>
      <w:r>
        <w:rPr>
          <w:rFonts w:ascii="Cambria" w:hAnsi="Cambria" w:cs="Times New Roman"/>
          <w:sz w:val="24"/>
          <w:szCs w:val="24"/>
        </w:rPr>
        <w:t>dwupierwiastkowego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(o wiązaniach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kowalencyjnych) o znanych wartościowościach pierwiastków;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15) ustala dla związków </w:t>
      </w:r>
      <w:proofErr w:type="spellStart"/>
      <w:r>
        <w:rPr>
          <w:rFonts w:ascii="Cambria" w:hAnsi="Cambria" w:cs="Times New Roman"/>
          <w:sz w:val="24"/>
          <w:szCs w:val="24"/>
        </w:rPr>
        <w:t>dwupierwiastkowych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(np. tlenków): nazwę na podstawie wzoru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sumarycznego, wzór sumaryczny na podstawie nazwy, wzór sumaryczny na podstawie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wartościowości, wartościowość na podstawie wzoru sumarycznego.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III. Reakcje chemiczne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opisuje i porównuje zjawisko fizyczne i reakcję chemiczną; podaje przykłady zjawisk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fizycznych i reakcji chemicznych zachodzących w otoczeniu człowieka; projektuje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przeprowadza doświadczenia ilustrujące zjawisko fizyczne i reakcję chemiczną;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 podstawie obserwacji klasyfikuje przemiany do reakcji chemicznych i zjawisk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fizycznych;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podaje przykłady różnych typów reakcji (reakcja syntezy, reakcja analizy, reakcja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wymiany); wskazuje substraty i produkty;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zapisuje równania reakcji chemicznych w formie cząsteczkowej i jonowej; dobiera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współczynniki stechiometryczne, stosując prawo zachowania masy i prawo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zachowania ładunku;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definiuje pojęcia: reakcje egzotermiczne i reakcje endotermiczne; podaje przykłady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takich reakcji;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wskazuje wpływ katalizatora na przebieg reakcji chemicznej; na podstawie równania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reakcji lub opisu jej przebiegu odróżnia reagenty (substraty i produkty)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 katalizatora;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oblicza masy cząsteczkowe pierwiastków występujących w formie cząsteczek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związków chemicznych;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stosuje do obliczeń prawo stałości składu i prawo zachowania masy (wykonuje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obliczenia związane ze stechiometrią wzoru chemicznego i równania reakcji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chemicznej).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IV. Tlen, wodór i ich związki chemiczne</w:t>
      </w:r>
      <w:r>
        <w:rPr>
          <w:rFonts w:ascii="Cambria" w:hAnsi="Cambria" w:cs="Times New Roman"/>
          <w:sz w:val="24"/>
          <w:szCs w:val="24"/>
        </w:rPr>
        <w:t>. Powietrze.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projektuje i przeprowadza doświadczenie polegające na otrzymaniu tlenu oraz bada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wybrane właściwości fizyczne i chemiczne tlenu; odczytuje z różnych źródeł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(np. układu okresowego pierwiastków, wykresu rozpuszczalności) informacji dotyczące tego pierwiastka; wymienia jego zastosowania; pisze równania reakcji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otrzymywania tlenu oraz równania reakcji tlenu z metalami i niemetalami;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opisuje właściwości fizyczne oraz zastosowania wybranych tlenków (np. tlenku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wapnia, tlenku glinu, tlenków żelaza, tlenków węgla, tlenku krzemu(IV), tlenków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siarki);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wskazuje przyczyny i skutki spadku stężenia ozonu w stratosferze ziemskiej;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proponuje sposoby zapobiegania powiększaniu się „dziury ozonowej”;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wymienia czynniki środowiska, które powodują korozję; proponuje sposoby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zabezpieczania produktów zawierających żelazo przed rdzewieniem;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opisuje właściwości fizyczne i chemiczne tlenku węgla(IV) oraz funkcję tego gazu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 przyrodzie; projektuje i przeprowadza doświadczenie pozwalające otrzymać oraz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wykryć tlenek węgla(IV) (np. w powietrzu wydychanym z płuc); pisze równania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reakcji otrzymywania tlenku węgla(IV) (np. reakcja spalania węgla w tlenie, rozkład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węglanów, reakcja węglanu wapnia z kwasem solnym);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opisuje obieg tlenu i węgla w przyrodzie;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7) projektuje i przeprowadza doświadczenie polegające na otrzymaniu wodoru oraz bada </w:t>
      </w:r>
      <w:r>
        <w:rPr>
          <w:rFonts w:ascii="Cambria" w:hAnsi="Cambria" w:cs="Times New Roman"/>
          <w:color w:val="000000"/>
          <w:sz w:val="24"/>
          <w:szCs w:val="24"/>
        </w:rPr>
        <w:t>7) projektuje i przeprowadza doświadczenie polegające na otrzymaniu wodoru oraz bada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wybrane jego właściwości fizyczne i chemiczne; odczytuje z różnych źródeł (np.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układu okresowego pierwiastków, wykresu rozpuszczalności) informacje dotyczące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tego pierwiastka</w:t>
      </w:r>
      <w:r>
        <w:rPr>
          <w:rFonts w:ascii="Cambria" w:hAnsi="Cambria" w:cs="Times New Roman"/>
          <w:color w:val="7030A1"/>
          <w:sz w:val="24"/>
          <w:szCs w:val="24"/>
        </w:rPr>
        <w:t xml:space="preserve">; </w:t>
      </w:r>
      <w:r>
        <w:rPr>
          <w:rFonts w:ascii="Cambria" w:hAnsi="Cambria" w:cs="Times New Roman"/>
          <w:color w:val="000000"/>
          <w:sz w:val="24"/>
          <w:szCs w:val="24"/>
        </w:rPr>
        <w:t>wymienia jego zastosowania; pisze równania reakcji otrzymywania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wodoru oraz równania reakcji wodoru z niemetalami; opisuje właściwości fizyczne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oraz zastosowania wybranych wodorków niemetali (amoniaku, chlorowodoru,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lastRenderedPageBreak/>
        <w:t>siarkowodoru);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8) projektuje i przeprowadza doświadczenie potwierdzające, że powietrze jest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mieszaniną; opisuje skład i właściwości powietrza;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9) opisuje właściwości fizyczne gazów szlachetnych; wyjaśnia, dlaczego są one bardzo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mało aktywne chemicznie; wymienia ich zastosowania;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10) wymienia źródła, rodzaje i skutki zanieczyszczeń powietrza; wymienia sposoby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postępowania pozwalające chronić powietrze przed zanieczyszczeniami.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4"/>
          <w:szCs w:val="24"/>
        </w:rPr>
        <w:t>V. Woda i roztwory wodne</w:t>
      </w:r>
      <w:r>
        <w:rPr>
          <w:rFonts w:ascii="Cambria" w:hAnsi="Cambria" w:cs="Times New Roman"/>
          <w:color w:val="000000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1) opisuje budowę cząsteczki wody oraz przewiduje zdolność do rozpuszczania się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różnych substancji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2) podaje przykłady substancji, które nie rozpuszczają się w wodzie, oraz przykłady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substancji, które rozpuszczają się w wodzie, tworząc roztwory właściwe; podaje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przykłady substancji, które z wodą tworzą koloidy i zawiesiny;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3) projektuje i przeprowadza doświadczenia dotyczące rozpuszczalności różnych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substancji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4) projektuje i przeprowadza doświadczenia wykazujące wpływ różnych czynników na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szybkość rozpuszczania substancji stałych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5) definiuje pojęcie rozpuszczalność; podaje różnice między roztworem nasyconym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i nienasyconym;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>6) odczytuje rozpuszczalność substancji z tabeli rozpuszczalności lub z wykresu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24"/>
          <w:szCs w:val="24"/>
        </w:rPr>
        <w:t xml:space="preserve">rozpuszczalności; oblicza </w:t>
      </w:r>
      <w:r>
        <w:rPr>
          <w:rFonts w:ascii="Cambria" w:hAnsi="Cambria" w:cs="Times New Roman"/>
          <w:sz w:val="24"/>
          <w:szCs w:val="24"/>
        </w:rPr>
        <w:t>7) wykonuje obliczenia z zastosowaniem pojęć: rozpuszczalność, stężenie procentowe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(procent masowy), masa substancji, masa rozpuszczalnika, masa roztworu, gęstość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roztworu (z wykorzystaniem tabeli rozpuszczalności lub wykresu rozpuszczalności 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VI. Wodorotlenki i kwasy</w:t>
      </w:r>
      <w:r>
        <w:rPr>
          <w:rFonts w:ascii="Cambria" w:hAnsi="Cambria" w:cs="Times New Roman"/>
          <w:sz w:val="24"/>
          <w:szCs w:val="24"/>
        </w:rPr>
        <w:t>. Uczeń: 1) rozpoznaje wzory wodorotlenków i kwasów; zapisuje wzory sumaryczne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wodorotlenków: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KOH, Ca(OH)2, Al(OH)3, Cu(OH)2 i kwasów: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H2S,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HNO3, H2SO3, H2SO4, H2CO3, H3PO4 oraz podaje ich nazwy;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projektuje i przeprowadza doświadczenia, w wyniku których można otrzymać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wodorotlenek (rozpuszczalny i trudno rozpuszczalny w wodzie), kwas beztlenowy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tlenowy (np.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Ca(OH)2, Cu(OH)2,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H3PO4); zapisuje odpowiednie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równania reakcji w formie cząsteczkowej;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opisuje właściwości i wynikające z nich zastosowania niektórych wodorotlenków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kwasów (np.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 xml:space="preserve">, Ca(OH)2, 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>, H2SO4);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wyjaśnia, na czym polega dysocjacja elektrolityczna zasad i kwasów; definiuje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pojęcia: elektrolit i nieelektrolit; zapisuje równania dysocjacji elektrolitycznej zasad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kwasów (w formie stopniowej dla H2S, H2CO3); definiuje kwasy i zasady (zgodnie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 teorią Arrheniusa); rozróżnia pojęcia: wodorotlenek i zasada;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wskazuje na zastosowania wskaźników, np. fenoloftaleiny, oranżu metylowego,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uniwersalnego papierka wskaźnikowego; rozróżnia doświadczalnie roztwory 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wodorotlenków za pomocą wskaźników;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wymienia rodzaje odczynu roztworu; określa i uzasadnia odczyn roztworu (kwasowy,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zasadowy, obojętny);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7) posługuje się skalą </w:t>
      </w:r>
      <w:proofErr w:type="spellStart"/>
      <w:r>
        <w:rPr>
          <w:rFonts w:ascii="Cambria" w:hAnsi="Cambria" w:cs="Times New Roman"/>
          <w:sz w:val="24"/>
          <w:szCs w:val="24"/>
        </w:rPr>
        <w:t>pH</w:t>
      </w:r>
      <w:proofErr w:type="spellEnd"/>
      <w:r>
        <w:rPr>
          <w:rFonts w:ascii="Cambria" w:hAnsi="Cambria" w:cs="Times New Roman"/>
          <w:sz w:val="24"/>
          <w:szCs w:val="24"/>
        </w:rPr>
        <w:t xml:space="preserve">; interpretuje wartość </w:t>
      </w:r>
      <w:proofErr w:type="spellStart"/>
      <w:r>
        <w:rPr>
          <w:rFonts w:ascii="Cambria" w:hAnsi="Cambria" w:cs="Times New Roman"/>
          <w:sz w:val="24"/>
          <w:szCs w:val="24"/>
        </w:rPr>
        <w:t>pH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w ujęciu jakościowym (odczyn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kwasowy, zasadowy, obojętny); przeprowadza doświadczenie, które pozwoli zbadać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produktów występujących w życiu codziennym człowieka (np. żywności, środków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czystości);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8) analizuje proces powstawania i skutki kwaśnych opadów; proponuje sposoby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ograniczające ich powstawanie.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VII. Sole</w:t>
      </w:r>
      <w:r>
        <w:rPr>
          <w:rFonts w:ascii="Cambria" w:hAnsi="Cambria" w:cs="Times New Roman"/>
          <w:sz w:val="24"/>
          <w:szCs w:val="24"/>
        </w:rPr>
        <w:t>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projektuje i przeprowadza doświadczenie oraz wyjaśnia przebieg reakcji zobojętniania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HCl</w:t>
      </w:r>
      <w:proofErr w:type="spellEnd"/>
      <w:r>
        <w:rPr>
          <w:rFonts w:ascii="Cambria" w:hAnsi="Cambria" w:cs="Times New Roman"/>
          <w:sz w:val="24"/>
          <w:szCs w:val="24"/>
        </w:rPr>
        <w:t xml:space="preserve"> + 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>); pisze równania reakcji zobojętniania w formie cząsteczkowej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jonowej;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tworzy i zapisuje wzory sumaryczne soli: chlorków, siarczków, azotanów(V),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siarczanów(IV), siarczanów(VI), węglanów, fosforanów(V) (</w:t>
      </w:r>
      <w:proofErr w:type="spellStart"/>
      <w:r>
        <w:rPr>
          <w:rFonts w:ascii="Cambria" w:hAnsi="Cambria" w:cs="Times New Roman"/>
          <w:sz w:val="24"/>
          <w:szCs w:val="24"/>
        </w:rPr>
        <w:t>ortofosforanów</w:t>
      </w:r>
      <w:proofErr w:type="spellEnd"/>
      <w:r>
        <w:rPr>
          <w:rFonts w:ascii="Cambria" w:hAnsi="Cambria" w:cs="Times New Roman"/>
          <w:sz w:val="24"/>
          <w:szCs w:val="24"/>
        </w:rPr>
        <w:t>(V));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tworzy nazwy soli na podstawie wzorów; tworzy i zapisuje wzory sumaryczne soli na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podstawie nazw;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pisze równania reakcji otrzymywania soli (kwas + wodorotlenek (np. Ca(OH)2), kwas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+ tlenek metalu, kwas + metal (1. i 2. grupy układu okresowego), wodorotlenek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</w:t>
      </w:r>
      <w:proofErr w:type="spellStart"/>
      <w:r>
        <w:rPr>
          <w:rFonts w:ascii="Cambria" w:hAnsi="Cambria" w:cs="Times New Roman"/>
          <w:sz w:val="24"/>
          <w:szCs w:val="24"/>
        </w:rPr>
        <w:t>NaOH</w:t>
      </w:r>
      <w:proofErr w:type="spellEnd"/>
      <w:r>
        <w:rPr>
          <w:rFonts w:ascii="Cambria" w:hAnsi="Cambria" w:cs="Times New Roman"/>
          <w:sz w:val="24"/>
          <w:szCs w:val="24"/>
        </w:rPr>
        <w:t>, KOH, Ca(OH)2) + tlenek niemetalu, tlenek metalu + tlenek niemetalu, metal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+ niemetal) w formie cząsteczkowej; 4) pisze równania dysocjacji elektrolitycznej soli rozpuszczalnych w wodzie;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5) wyjaśnia przebieg reakcji </w:t>
      </w:r>
      <w:proofErr w:type="spellStart"/>
      <w:r>
        <w:rPr>
          <w:rFonts w:ascii="Cambria" w:hAnsi="Cambria" w:cs="Times New Roman"/>
          <w:sz w:val="24"/>
          <w:szCs w:val="24"/>
        </w:rPr>
        <w:t>strąceniowej</w:t>
      </w:r>
      <w:proofErr w:type="spellEnd"/>
      <w:r>
        <w:rPr>
          <w:rFonts w:ascii="Cambria" w:hAnsi="Cambria" w:cs="Times New Roman"/>
          <w:sz w:val="24"/>
          <w:szCs w:val="24"/>
        </w:rPr>
        <w:t>; projektuje i przeprowadza doświadczenie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pozwalające otrzymywać substancje trudno rozpuszczalne (sole i wodorotlenki)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 reakcjach </w:t>
      </w:r>
      <w:proofErr w:type="spellStart"/>
      <w:r>
        <w:rPr>
          <w:rFonts w:ascii="Cambria" w:hAnsi="Cambria" w:cs="Times New Roman"/>
          <w:sz w:val="24"/>
          <w:szCs w:val="24"/>
        </w:rPr>
        <w:t>strąceniowych</w:t>
      </w:r>
      <w:proofErr w:type="spellEnd"/>
      <w:r>
        <w:rPr>
          <w:rFonts w:ascii="Cambria" w:hAnsi="Cambria" w:cs="Times New Roman"/>
          <w:sz w:val="24"/>
          <w:szCs w:val="24"/>
        </w:rPr>
        <w:t>, pisze odpowiednie równania reakcji w formie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cząsteczkowej i jonowej; na podstawie tablicy rozpuszczalności soli i wodorotlenków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przewiduje wynik reakcji </w:t>
      </w:r>
      <w:proofErr w:type="spellStart"/>
      <w:r>
        <w:rPr>
          <w:rFonts w:ascii="Cambria" w:hAnsi="Cambria" w:cs="Times New Roman"/>
          <w:sz w:val="24"/>
          <w:szCs w:val="24"/>
        </w:rPr>
        <w:t>strąceniowej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wymienia zastosowania najważniejszych soli: chlorków, węglanów, azotanów(V),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siarczanów(VI) i fosforanów(V) (</w:t>
      </w:r>
      <w:proofErr w:type="spellStart"/>
      <w:r>
        <w:rPr>
          <w:rFonts w:ascii="Cambria" w:hAnsi="Cambria" w:cs="Times New Roman"/>
          <w:sz w:val="24"/>
          <w:szCs w:val="24"/>
        </w:rPr>
        <w:t>ortofosforanów</w:t>
      </w:r>
      <w:proofErr w:type="spellEnd"/>
      <w:r>
        <w:rPr>
          <w:rFonts w:ascii="Cambria" w:hAnsi="Cambria" w:cs="Times New Roman"/>
          <w:sz w:val="24"/>
          <w:szCs w:val="24"/>
        </w:rPr>
        <w:t>(V)).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VIII. Związki węgla z wodorem – węglowodory.</w:t>
      </w:r>
      <w:r>
        <w:rPr>
          <w:rFonts w:ascii="Cambria" w:hAnsi="Cambria" w:cs="Times New Roman"/>
          <w:sz w:val="24"/>
          <w:szCs w:val="24"/>
        </w:rPr>
        <w:t xml:space="preserve">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1) definiuje pojęcia: węglowodory nasycone (alkany) i nienasycone (alkeny, alkiny);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tworzy wzór ogólny szeregu homologicznego alkanów (na podstawie wzorów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kolejnych alkanów) i zapisuje wzór sumaryczny alkanu o podanej liczbie atomów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węgla; rysuje wzory strukturalne i </w:t>
      </w: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alkanów o łańcuchach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prostych do pięciu atomów węgla w cząsteczce; podaje ich nazwy systematyczne;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obserwuje i opisuje właściwości fizyczne alkanów; wskazuje związek między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długością łańcucha węglowego a właściwościami fizycznymi w szeregu alkanów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(gęstość, temperatura topnienia i temperatura wrzenia);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obserwuje i opisuje właściwości chemiczne (reakcje spalania) alkanów; pisze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równania reakcji spalania alkanów przy dużym i małym dostępie tlenu; wyszukuje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informacje na temat zastosowań alkanów i je wymienia;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tworzy wzory ogólne szeregów homologicznych alkenów i alkinów (na podstawie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wzorów kolejnych alkenów i alkinów); zapisuje wzór sumaryczny alkenu i </w:t>
      </w:r>
      <w:proofErr w:type="spellStart"/>
      <w:r>
        <w:rPr>
          <w:rFonts w:ascii="Cambria" w:hAnsi="Cambria" w:cs="Times New Roman"/>
          <w:sz w:val="24"/>
          <w:szCs w:val="24"/>
        </w:rPr>
        <w:t>alkinu</w:t>
      </w:r>
      <w:proofErr w:type="spellEnd"/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 podanej liczbie atomów węgla; tworzy nazwy alkenów i alkinów na podstawie nazw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odpowiednich alkanów; rysuje wzory strukturalne i </w:t>
      </w: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alkenów i alkinów o łańcuchach prostych do pięciu atomów węgla w cząsteczce;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na podstawie obserwacji opisuje właściwości fizyczne i chemiczne (spalanie,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przyłączanie bromu) </w:t>
      </w:r>
      <w:proofErr w:type="spellStart"/>
      <w:r>
        <w:rPr>
          <w:rFonts w:ascii="Cambria" w:hAnsi="Cambria" w:cs="Times New Roman"/>
          <w:sz w:val="24"/>
          <w:szCs w:val="24"/>
        </w:rPr>
        <w:t>etenu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i </w:t>
      </w:r>
      <w:proofErr w:type="spellStart"/>
      <w:r>
        <w:rPr>
          <w:rFonts w:ascii="Cambria" w:hAnsi="Cambria" w:cs="Times New Roman"/>
          <w:sz w:val="24"/>
          <w:szCs w:val="24"/>
        </w:rPr>
        <w:t>etynu</w:t>
      </w:r>
      <w:proofErr w:type="spellEnd"/>
      <w:r>
        <w:rPr>
          <w:rFonts w:ascii="Cambria" w:hAnsi="Cambria" w:cs="Times New Roman"/>
          <w:sz w:val="24"/>
          <w:szCs w:val="24"/>
        </w:rPr>
        <w:t>; wyszukuje informacje na temat ich zastosowań i 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wymienia;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7) zapisuje równanie reakcji polimeryzacji </w:t>
      </w:r>
      <w:proofErr w:type="spellStart"/>
      <w:r>
        <w:rPr>
          <w:rFonts w:ascii="Cambria" w:hAnsi="Cambria" w:cs="Times New Roman"/>
          <w:sz w:val="24"/>
          <w:szCs w:val="24"/>
        </w:rPr>
        <w:t>etenu</w:t>
      </w:r>
      <w:proofErr w:type="spellEnd"/>
      <w:r>
        <w:rPr>
          <w:rFonts w:ascii="Cambria" w:hAnsi="Cambria" w:cs="Times New Roman"/>
          <w:sz w:val="24"/>
          <w:szCs w:val="24"/>
        </w:rPr>
        <w:t>; opisuje właściwości i zastosowania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polietylenu;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8) projektuje i przeprowadza doświadczenie pozwalające odróżnić węglowodory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nasycone od nienasyconych;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9) wymienia naturalne źródła węglowodorów;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10) wymienia nazwy produktów destylacji ropy naftowej, wskazuje ich zastosowania.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IX. Pochodne węglowodorów.</w:t>
      </w:r>
      <w:r>
        <w:rPr>
          <w:rFonts w:ascii="Cambria" w:hAnsi="Cambria" w:cs="Times New Roman"/>
          <w:sz w:val="24"/>
          <w:szCs w:val="24"/>
        </w:rPr>
        <w:t xml:space="preserve">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1) pisze wzory sumaryczne, rysuje wzory </w:t>
      </w: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i strukturalne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alkoholi </w:t>
      </w:r>
      <w:proofErr w:type="spellStart"/>
      <w:r>
        <w:rPr>
          <w:rFonts w:ascii="Cambria" w:hAnsi="Cambria" w:cs="Times New Roman"/>
          <w:sz w:val="24"/>
          <w:szCs w:val="24"/>
        </w:rPr>
        <w:t>monohydroksylowych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 łańcuchach prostych zawierających do pięciu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atomów węgla w cząsteczce; tworzy ich nazwy systematyczne; dzieli alkohole na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mono- i </w:t>
      </w:r>
      <w:proofErr w:type="spellStart"/>
      <w:r>
        <w:rPr>
          <w:rFonts w:ascii="Cambria" w:hAnsi="Cambria" w:cs="Times New Roman"/>
          <w:sz w:val="24"/>
          <w:szCs w:val="24"/>
        </w:rPr>
        <w:t>polihydroksylowe</w:t>
      </w:r>
      <w:proofErr w:type="spellEnd"/>
      <w:r>
        <w:rPr>
          <w:rFonts w:ascii="Cambria" w:hAnsi="Cambria" w:cs="Times New Roman"/>
          <w:sz w:val="24"/>
          <w:szCs w:val="24"/>
        </w:rPr>
        <w:t>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bada wybrane właściwości fizyczne i chemiczne etanolu; opisuje właściwości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zastosowania metanolu i etanolu; zapisuje równania reakcji spalania metanolu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 etanolu; opisuje negatywne skutki działania metanolu i etanolu na organizm ludzki; 3) zapisuje wzór sumaryczny i </w:t>
      </w:r>
      <w:proofErr w:type="spellStart"/>
      <w:r>
        <w:rPr>
          <w:rFonts w:ascii="Cambria" w:hAnsi="Cambria" w:cs="Times New Roman"/>
          <w:sz w:val="24"/>
          <w:szCs w:val="24"/>
        </w:rPr>
        <w:t>półstrukturalny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(grupowy) propano-1,2,3-triolu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(glicerolu); bada jego właściwości fizyczne; wymienia jego zastosowania;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podaje przykłady kwasów organicznych występujących w przyrodzie (np. kwas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mrówkowy, szczawiowy, cytrynowy) i wymienia ich zastosowania; rysuje wzory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i strukturalne kwasów </w:t>
      </w:r>
      <w:proofErr w:type="spellStart"/>
      <w:r>
        <w:rPr>
          <w:rFonts w:ascii="Cambria" w:hAnsi="Cambria" w:cs="Times New Roman"/>
          <w:sz w:val="24"/>
          <w:szCs w:val="24"/>
        </w:rPr>
        <w:t>monokarboksylowych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 łańcuchach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prostych zawierających do pięciu atomów węgla w cząsteczce oraz podaje ich nazwy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zwyczajowe i systematyczne;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bada i opisuje wybrane właściwości fizyczne i chemiczne kwasu etanowego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(octowego); pisze w formie cząsteczkowej równania reakcji tego kwasu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 wodorotlenkami, tlenkami metali, metalami; bada odczyn wodnego roztworu kwasu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etanowego (octowego); pisze równanie dysocjacji tego kwasu;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wyjaśnia, na czym polega reakcja estryfikacji; zapisuje równania reakcji między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kwasami karboksylowymi (metanowym, etanowym) i alkoholami (metanolem,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etanolem); tworzy nazwy systematyczne i zwyczajowe estrów na podstawie nazw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odpowiednich kwasów karboksylowych (metanowego, etanowego) i alkoholi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(metanolu, etanolu); planuje i przeprowadza doświadczenie pozwalające otrzymać</w:t>
      </w:r>
    </w:p>
    <w:p w:rsidR="00E356F7" w:rsidRDefault="00A65F1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ester o podanej nazwie; opisuje właściwości estrów w aspekcie ich zastosowań.</w:t>
      </w:r>
    </w:p>
    <w:p w:rsidR="00E356F7" w:rsidRDefault="00E35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X. Substancje chemiczne o znaczeniu biologicznym. Uczeń: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1) podaje nazwy i rysuje wzory </w:t>
      </w:r>
      <w:proofErr w:type="spellStart"/>
      <w:r>
        <w:rPr>
          <w:rFonts w:ascii="Cambria" w:hAnsi="Cambria" w:cs="Times New Roman"/>
          <w:b/>
          <w:sz w:val="24"/>
          <w:szCs w:val="24"/>
        </w:rPr>
        <w:t>półstrukturalne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(grupowe) długołańcuchowych 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monokarboksylowych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(kwasów tłuszczowych) nasyconych (palmitynowego,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stearynowego) i nienasyconego (oleinowego);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2) opisuje wybrane właściwości fizyczne i chemiczne długołańcuchowych 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monokarboksylowych</w:t>
      </w:r>
      <w:proofErr w:type="spellEnd"/>
      <w:r>
        <w:rPr>
          <w:rFonts w:ascii="Cambria" w:hAnsi="Cambria" w:cs="Times New Roman"/>
          <w:sz w:val="24"/>
          <w:szCs w:val="24"/>
        </w:rPr>
        <w:t>; projektuje i przeprowadza doświadczenie, które pozwoli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odróżnić kwas oleinowy od palmitynowego lub stearynowego;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3) opisuje budowę cząsteczki tłuszczu jako estru glicerolu i kwasów tłuszczowych;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klasyfikuje tłuszcze pod względem pochodzenia, stanu skupienia i charakteru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chemicznego; opisuje wybrane właściwości fizyczne tłuszczów; projektuje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przeprowadza doświadczenie pozwalające odróżnić tłuszcz nienasycony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od nasyconego;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4) opisuje budowę i wybrane właściwości fizyczne i chemiczne aminokwasów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na przykładzie kwasu </w:t>
      </w:r>
      <w:proofErr w:type="spellStart"/>
      <w:r>
        <w:rPr>
          <w:rFonts w:ascii="Cambria" w:hAnsi="Cambria" w:cs="Times New Roman"/>
          <w:sz w:val="24"/>
          <w:szCs w:val="24"/>
        </w:rPr>
        <w:t>aminooctowego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(glicyny); pisze równanie reakcji kondensacji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dwóch cząsteczek glicyny;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5) wymienia pierwiastki, których atomy wchodzą w skład cząsteczek białek; definiuje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białka jako związki powstające w wyniku kondensacji aminokwasów;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6) bada zachowanie się białka pod wpływem ogrzewania, etanolu, kwasów i zasad, soli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metali ciężkich (np. CuSO4) i chlorku sodu; opisuje różnice w przebiegu denaturacji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i koagulacji białek; wymienia czynniki, które wywołują te procesy; projektuje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przeprowadza doświadczenia pozwalające wykryć obecność białka za pomocą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stężonego roztworu kwasu azotowego(V) w różnych produktach spożywczych;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7) wymienia pierwiastki, których atomy wchodzą w skład cząsteczek cukrów</w:t>
      </w:r>
    </w:p>
    <w:p w:rsidR="00E356F7" w:rsidRDefault="00A65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(węglowodanów); klasyfikuje cukry na proste (glukoza, fruktoza) i złożone( sacharoza, skrobia i celuloza).</w:t>
      </w:r>
    </w:p>
    <w:p w:rsidR="00E356F7" w:rsidRDefault="00E356F7">
      <w:pPr>
        <w:jc w:val="center"/>
      </w:pPr>
    </w:p>
    <w:sectPr w:rsidR="00E356F7" w:rsidSect="00E356F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SchoolbookPL-Roman;MS M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1AE"/>
    <w:multiLevelType w:val="multilevel"/>
    <w:tmpl w:val="AA7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abstractNum w:abstractNumId="1">
    <w:nsid w:val="2C237D8A"/>
    <w:multiLevelType w:val="multilevel"/>
    <w:tmpl w:val="C212B2D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3F7547"/>
    <w:multiLevelType w:val="multilevel"/>
    <w:tmpl w:val="EE92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6F7"/>
    <w:rsid w:val="000036AE"/>
    <w:rsid w:val="00306B41"/>
    <w:rsid w:val="003E4576"/>
    <w:rsid w:val="005061A0"/>
    <w:rsid w:val="00543741"/>
    <w:rsid w:val="00961210"/>
    <w:rsid w:val="00A65F10"/>
    <w:rsid w:val="00B84290"/>
    <w:rsid w:val="00E356F7"/>
    <w:rsid w:val="00E9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F7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E356F7"/>
    <w:rPr>
      <w:rFonts w:ascii="Cambria" w:hAnsi="Cambria"/>
      <w:sz w:val="24"/>
    </w:rPr>
  </w:style>
  <w:style w:type="character" w:customStyle="1" w:styleId="ListLabel2">
    <w:name w:val="ListLabel 2"/>
    <w:qFormat/>
    <w:rsid w:val="00E356F7"/>
    <w:rPr>
      <w:rFonts w:ascii="Cambria" w:hAnsi="Cambria" w:cs="Symbol"/>
      <w:sz w:val="24"/>
    </w:rPr>
  </w:style>
  <w:style w:type="character" w:customStyle="1" w:styleId="ListLabel3">
    <w:name w:val="ListLabel 3"/>
    <w:qFormat/>
    <w:rsid w:val="00E356F7"/>
    <w:rPr>
      <w:rFonts w:cs="Courier New"/>
      <w:sz w:val="24"/>
    </w:rPr>
  </w:style>
  <w:style w:type="character" w:customStyle="1" w:styleId="ListLabel4">
    <w:name w:val="ListLabel 4"/>
    <w:qFormat/>
    <w:rsid w:val="00E356F7"/>
    <w:rPr>
      <w:rFonts w:cs="Wingdings"/>
      <w:sz w:val="24"/>
    </w:rPr>
  </w:style>
  <w:style w:type="character" w:customStyle="1" w:styleId="Znakiwypunktowania">
    <w:name w:val="Znaki wypunktowania"/>
    <w:qFormat/>
    <w:rsid w:val="00E356F7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rsid w:val="00E356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E356F7"/>
    <w:pPr>
      <w:spacing w:after="140" w:line="288" w:lineRule="auto"/>
    </w:pPr>
  </w:style>
  <w:style w:type="paragraph" w:styleId="Lista">
    <w:name w:val="List"/>
    <w:basedOn w:val="Tretekstu"/>
    <w:rsid w:val="00E356F7"/>
    <w:rPr>
      <w:rFonts w:cs="Lucida Sans"/>
    </w:rPr>
  </w:style>
  <w:style w:type="paragraph" w:styleId="Podpis">
    <w:name w:val="Signature"/>
    <w:basedOn w:val="Normalny"/>
    <w:rsid w:val="00E356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356F7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AA56F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Rysiek jach</cp:lastModifiedBy>
  <cp:revision>2</cp:revision>
  <dcterms:created xsi:type="dcterms:W3CDTF">2021-09-05T08:33:00Z</dcterms:created>
  <dcterms:modified xsi:type="dcterms:W3CDTF">2021-09-05T08:33:00Z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